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xvfev1g5pp5" w:id="0"/>
      <w:bookmarkEnd w:id="0"/>
      <w:r w:rsidDel="00000000" w:rsidR="00000000" w:rsidRPr="00000000">
        <w:rPr>
          <w:b w:val="1"/>
          <w:rtl w:val="0"/>
        </w:rPr>
        <w:t xml:space="preserve">Datové struktury s opakováním a bez opakování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Tato otázka je úzce spjata s otázkami 8 a 10. Doporučuje se nejdříve se naučit ty dvě, než se budete věnovat otázce 9.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 datové struktuře s opakováním může nastat stav, kdy máte uložené dvě stejné hodnoty. V datové struktuře bez opakování takový stav nemůže nastat.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2i2ymp7pjfr" w:id="1"/>
      <w:bookmarkEnd w:id="1"/>
      <w:r w:rsidDel="00000000" w:rsidR="00000000" w:rsidRPr="00000000">
        <w:rPr>
          <w:rtl w:val="0"/>
        </w:rPr>
        <w:t xml:space="preserve">S opakováním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Datové struktury s opakováním jsou například LinkedList, Pole a další listy, kde nezáleží na tom, že dvě hodnoty jsou identické.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Příklady datových struktur s opakováním: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Halda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Fronta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Zásobník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kwmt3eundcue" w:id="2"/>
      <w:bookmarkEnd w:id="2"/>
      <w:r w:rsidDel="00000000" w:rsidR="00000000" w:rsidRPr="00000000">
        <w:rPr>
          <w:rtl w:val="0"/>
        </w:rPr>
        <w:t xml:space="preserve">Bez opakování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Datové struktury bez opakování jsou: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SortedSet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Dictionary,HashTable</w:t>
      </w:r>
      <w:r w:rsidDel="00000000" w:rsidR="00000000" w:rsidRPr="00000000">
        <w:rPr>
          <w:rtl w:val="0"/>
        </w:rPr>
        <w:t xml:space="preserve"> (týká se klíčů)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 podstatě všechny sety jsou datovými strukturami bez opakování,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je speciální případ, kdy klíč musí být unikátní, ale hodnoty se mohou opakovat.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