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rPr>
          <w14:ligatures w14:val="none"/>
        </w:rPr>
      </w:pPr>
      <w:r/>
      <w:r>
        <w:t xml:space="preserve">Lectures Report 2 - The "Production" of Power: A CAS Analysis of Tullock's (1980) "Efficient Rent Seeking"</w:t>
      </w:r>
      <w:r/>
      <w:r/>
    </w:p>
    <w:p>
      <w:pPr>
        <w:pStyle w:val="161"/>
        <w:pBdr/>
        <w:spacing/>
        <w:ind/>
        <w:rPr/>
      </w:pPr>
      <w:r>
        <w:t xml:space="preserve">Ondřej Marva</w:t>
      </w:r>
      <w:r>
        <w:rPr>
          <w:lang w:val="cs-CZ"/>
        </w:rPr>
        <w:t xml:space="preserve">n, </w:t>
      </w:r>
      <w:r>
        <w:t xml:space="preserve">17 November 2025</w:t>
      </w:r>
      <w:r/>
      <w:r/>
      <w:r/>
    </w:p>
    <w:p>
      <w:pPr>
        <w:pBdr/>
        <w:spacing/>
        <w:ind/>
        <w:rPr/>
      </w:pPr>
      <w:r/>
      <w:r/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AI </w:t>
      </w:r>
      <w:r>
        <w:rPr>
          <w:rFonts w:ascii="Liberation Sans" w:hAnsi="Liberation Sans" w:eastAsia="Liberation Sans" w:cs="Liberation Sans"/>
          <w:b/>
          <w:color w:val="000000"/>
          <w:sz w:val="28"/>
          <w:lang w:val="cs-CZ"/>
        </w:rPr>
        <w:t xml:space="preserve">X</w:t>
      </w: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 CAS Workflow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My analysis followed the 6-step workflow, with the full script in the attached Jupyter Notebook.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1. AI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Reconnaissance: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AI Suggests: The core of the paper is a model called the Contest Success Function (CSF), which acts as the "production function". The inputs are lobbying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expenses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), and the output is the probability of winning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2. CAS Specification: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 specified the model in SymPy.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Production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baseline"/>
        </w:rPr>
        <w:t xml:space="preserve"> (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  <w:t xml:space="preserve">) = </w:t>
      </w:r>
      <m:oMath>
        <m:f>
          <m:fPr>
            <m:ctrlPr>
              <w:rPr>
                <w:rFonts w:hint="default" w:ascii="Cambria Math" w:hAnsi="Cambria Math" w:eastAsia="Cambria Math" w:cs="Cambria Math"/>
                <w:b w:val="0"/>
                <w:bCs w:val="0"/>
                <w:i/>
                <w:color w:val="000000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 + 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B</m:t>
            </m:r>
          </m:den>
        </m:f>
      </m:oMath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Utility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* 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-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Where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is the prize value and </w:t>
      </w:r>
      <w:r>
        <w:rPr>
          <w:rFonts w:ascii="Liberation Sans" w:hAnsi="Liberation Sans" w:eastAsia="Liberation Sans" w:cs="Liberation Sans"/>
          <w:color w:val="000000"/>
          <w:sz w:val="24"/>
          <w:vertAlign w:val="subscript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is the "decisiveness" of the contest.</w:t>
      </w:r>
      <w:r/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3. Property Tests: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AI Suggests: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For the model to be realistic, it must be well-behaved. Spending more should help, but with diminishing returns.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Monotonicity: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5737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/ </w:t>
      </w:r>
      <w:r>
        <w:rPr>
          <w:rFonts w:ascii="Liberation Sans" w:hAnsi="Liberation Sans" w:eastAsia="Liberation Sans" w:cs="Liberation Sans"/>
          <w:color w:val="000000"/>
          <w:sz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85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baseline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&gt; 0.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(More spending always helps).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Concavity: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2407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superscript"/>
        </w:rPr>
        <w:t xml:space="preserve">2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/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66452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superscript"/>
        </w:rPr>
        <w:t xml:space="preserve">2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baseline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&lt; 0.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(Confirmed by testing for $r=1$, which shows diminishing returns).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Returns to Scale: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most important test. My notebook shows the function is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homogeneous of degree 0 </w:t>
      </w:r>
      <w:r>
        <w:t xml:space="preserve">(</w:t>
      </w:r>
      <w:r>
        <w:rPr>
          <w:i/>
          <w:iCs/>
        </w:rPr>
        <w:t xml:space="preserve">p</w:t>
      </w:r>
      <w:r>
        <w:rPr>
          <w:vertAlign w:val="subscript"/>
        </w:rPr>
        <w:t xml:space="preserve">A</w:t>
      </w:r>
      <w:r>
        <w:t xml:space="preserve">(</w:t>
      </w:r>
      <w:r>
        <w:rPr>
          <w:i/>
          <w:iCs/>
        </w:rPr>
        <w:t xml:space="preserve">t * X</w:t>
      </w:r>
      <w:r>
        <w:rPr>
          <w:i/>
          <w:iCs/>
          <w:vertAlign w:val="subscript"/>
        </w:rPr>
        <w:t xml:space="preserve">A</w:t>
      </w:r>
      <w:r>
        <w:rPr>
          <w:i/>
          <w:iCs/>
          <w:vertAlign w:val="baseline"/>
        </w:rPr>
        <w:t xml:space="preserve">,t * X</w:t>
      </w:r>
      <w:r>
        <w:rPr>
          <w:i/>
          <w:iCs/>
          <w:vertAlign w:val="subscript"/>
        </w:rPr>
        <w:t xml:space="preserve">B</w:t>
      </w:r>
      <w:r>
        <w:t xml:space="preserve">)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=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 This is a huge insight: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if both players double their spending, their odds of winning </w:t>
      </w:r>
      <w:r>
        <w:rPr>
          <w:rFonts w:ascii="Liberation Sans" w:hAnsi="Liberation Sans" w:eastAsia="Liberation Sans" w:cs="Liberation Sans"/>
          <w:b/>
          <w:i/>
          <w:color w:val="000000"/>
          <w:sz w:val="24"/>
        </w:rPr>
        <w:t xml:space="preserve">do not change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. It mathematically proves Tullock's "social waste" argument.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4. Internal Validity: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AI Suggests: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Tullock claims there is a predictable "Nash Equilibrium" level of wasteful spending.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 used SymPy to solve the first-order condition (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6528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2.17pt;height:13.69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A </w:t>
      </w:r>
      <w:r>
        <w:rPr>
          <w:i/>
          <w:iCs/>
          <w:vertAlign w:val="baseline"/>
        </w:rPr>
        <w:t xml:space="preserve">/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476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2.17pt;height:13.69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baseline"/>
        </w:rPr>
        <w:t xml:space="preserve">X</w:t>
      </w:r>
      <w:r>
        <w:rPr>
          <w:i/>
          <w:iCs/>
          <w:vertAlign w:val="subscript"/>
        </w:rPr>
        <w:t xml:space="preserve">A </w:t>
      </w:r>
      <w:r>
        <w:rPr>
          <w:i/>
          <w:iCs/>
          <w:vertAlign w:val="baseline"/>
        </w:rPr>
        <w:t xml:space="preserve">= </w:t>
      </w:r>
      <w:r>
        <w:rPr>
          <w:i/>
          <w:iCs/>
          <w:vertAlign w:val="baseline"/>
        </w:rPr>
        <w:t xml:space="preserve">0</w:t>
      </w:r>
      <w:r/>
      <w:r>
        <w:rPr>
          <w:rFonts w:ascii="Liberation Sans" w:hAnsi="Liberation Sans" w:eastAsia="Liberation Sans" w:cs="Liberation Sans"/>
          <w:color w:val="000000"/>
          <w:sz w:val="24"/>
        </w:rPr>
        <w:t xml:space="preserve">) for a symmetric equilibrium. The CAS symbolically derived the exact equilibrium formulas:</w:t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Equilibrium Spending per Player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x*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x*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</w:t>
      </w:r>
      <m:oMath>
        <m:f>
          <m:fPr>
            <m:ctrlPr>
              <w:rPr>
                <w:rFonts w:hint="default"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V*r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color w:val="000000"/>
            <w:sz w:val="24"/>
            <w:szCs w:val="24"/>
          </w:rPr>
          <m:rPr>
            <m:sty m:val="i"/>
          </m:rPr>
          <m:t>.</m:t>
        </m:r>
      </m:oMath>
      <w:r>
        <w:rPr>
          <w:rFonts w:ascii="Liberation Sans" w:hAnsi="Liberation Sans" w:eastAsia="Liberation Sans" w:cs="Liberation Sans"/>
          <w:color w:val="000000"/>
          <w:sz w:val="24"/>
        </w:rPr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Total Social Waste (x</w:t>
      </w:r>
      <w:r>
        <w:rPr>
          <w:rFonts w:ascii="Liberation Sans" w:hAnsi="Liberation Sans" w:eastAsia="Liberation Sans" w:cs="Liberation Sans"/>
          <w:i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 + x</w:t>
      </w:r>
      <w:r>
        <w:rPr>
          <w:rFonts w:ascii="Liberation Sans" w:hAnsi="Liberation Sans" w:eastAsia="Liberation Sans" w:cs="Liberation Sans"/>
          <w:i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*):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Total Waste = </w:t>
      </w:r>
      <w:r/>
      <m:oMath>
        <m:f>
          <m:fPr>
            <m:ctrlPr>
              <w:rPr>
                <w:rFonts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V*r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2</m:t>
            </m:r>
          </m:den>
        </m:f>
      </m:oMath>
      <w:r>
        <w:rPr>
          <w:rFonts w:ascii="Liberation Sans" w:hAnsi="Liberation Sans" w:eastAsia="Liberation Sans" w:cs="Liberation Sans"/>
          <w:color w:val="000000"/>
          <w:sz w:val="24"/>
        </w:rPr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model is perfectly internally consistent.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5AD80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998D3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EB0B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49E58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2025-11-17T19:37:27Z</dcterms:modified>
</cp:coreProperties>
</file>