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.png" ContentType="image/png"/>
  <Override PartName="/word/media/rId17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Drives the EUR/PLN Exchange Rate? Interest Rates, Cointegration and an ARDL Model</w:t>
      </w:r>
    </w:p>
    <w:p>
      <w:pPr>
        <w:pStyle w:val="Author"/>
      </w:pPr>
      <w:r>
        <w:t xml:space="preserve">Ondřej Marvan (student ID 477001)</w:t>
      </w:r>
    </w:p>
    <w:p>
      <w:pPr>
        <w:pStyle w:val="Date"/>
      </w:pPr>
      <w:r>
        <w:t xml:space="preserve">07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In this project I check whether the EUR/PLN exchange rate is linked to the gap</w:t>
      </w:r>
      <w:r>
        <w:t xml:space="preserve"> </w:t>
      </w:r>
      <w:r>
        <w:t xml:space="preserve">between Polish and euro-area interest rates. I use monthly data from</w:t>
      </w:r>
      <w:r>
        <w:t xml:space="preserve"> </w:t>
      </w:r>
      <w:r>
        <w:t xml:space="preserve">2012 to 2026</w:t>
      </w:r>
      <w:r>
        <w:t xml:space="preserve"> </w:t>
      </w:r>
      <w:r>
        <w:t xml:space="preserve">(173 months). I test if the series are stationary, then I look for a</w:t>
      </w:r>
      <w:r>
        <w:t xml:space="preserve"> </w:t>
      </w:r>
      <w:r>
        <w:t xml:space="preserve">long-run link with cointegration tests and an ARDL model, with Brent oil as a</w:t>
      </w:r>
      <w:r>
        <w:t xml:space="preserve"> </w:t>
      </w:r>
      <w:r>
        <w:t xml:space="preserve">control and a simple ARIMA model as a benchmark. My main result is that all</w:t>
      </w:r>
      <w:r>
        <w:t xml:space="preserve"> </w:t>
      </w:r>
      <w:r>
        <w:t xml:space="preserve">series are non-stationary (I(1)), but I find</w:t>
      </w:r>
      <w:r>
        <w:t xml:space="preserve"> </w:t>
      </w:r>
      <w:r>
        <w:rPr>
          <w:b/>
          <w:bCs/>
        </w:rPr>
        <w:t xml:space="preserve">no stable long-run link</w:t>
      </w:r>
      <w:r>
        <w:t xml:space="preserve"> </w:t>
      </w:r>
      <w:r>
        <w:t xml:space="preserve">between</w:t>
      </w:r>
      <w:r>
        <w:t xml:space="preserve"> </w:t>
      </w:r>
      <w:r>
        <w:t xml:space="preserve">the exchange rate and the interest rate gap: the Phillips–Ouliaris test and the</w:t>
      </w:r>
      <w:r>
        <w:t xml:space="preserve"> </w:t>
      </w:r>
      <w:r>
        <w:t xml:space="preserve">ARDL bounds test both point to no long-run relationship, and the stability tests</w:t>
      </w:r>
      <w:r>
        <w:t xml:space="preserve"> </w:t>
      </w:r>
      <w:r>
        <w:t xml:space="preserve">show the link is not stable around 2020–2022. The exchange rate behaves close to a</w:t>
      </w:r>
      <w:r>
        <w:t xml:space="preserve"> </w:t>
      </w:r>
      <w:r>
        <w:t xml:space="preserve">random walk, which my ARIMA benchmark confirms. This fits the well-known finding</w:t>
      </w:r>
      <w:r>
        <w:t xml:space="preserve"> </w:t>
      </w:r>
      <w:r>
        <w:t xml:space="preserve">that exchange rates are hard to predict and that interest-parity links are weak.</w:t>
      </w:r>
    </w:p>
    <w:bookmarkEnd w:id="9"/>
    <w:bookmarkStart w:id="10" w:name="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The link between exchange rates and interest rates is a classic topic in</w:t>
      </w:r>
      <w:r>
        <w:t xml:space="preserve"> </w:t>
      </w:r>
      <w:r>
        <w:t xml:space="preserve">international finance. The main idea is uncovered interest parity (UIP): if one</w:t>
      </w:r>
      <w:r>
        <w:t xml:space="preserve"> </w:t>
      </w:r>
      <w:r>
        <w:t xml:space="preserve">country has higher interest rates, its currency is expected to weaken by about</w:t>
      </w:r>
      <w:r>
        <w:t xml:space="preserve"> </w:t>
      </w:r>
      <w:r>
        <w:t xml:space="preserve">the same amount, so investors do not get a free profit. In practice this idea</w:t>
      </w:r>
      <w:r>
        <w:t xml:space="preserve"> </w:t>
      </w:r>
      <w:r>
        <w:t xml:space="preserve">often fails in the short run but works better over longer periods</w:t>
      </w:r>
      <w:r>
        <w:t xml:space="preserve"> </w:t>
      </w:r>
      <w:r>
        <w:t xml:space="preserve">(Chinn and Meredith 2004; Fama 1984)</w:t>
      </w:r>
      <w:r>
        <w:t xml:space="preserve">.</w:t>
      </w:r>
    </w:p>
    <w:p>
      <w:pPr>
        <w:pStyle w:val="BodyText"/>
      </w:pPr>
      <w:r>
        <w:t xml:space="preserve">Poland is a good case to study. It has its own currency, floats freely, and sits</w:t>
      </w:r>
      <w:r>
        <w:t xml:space="preserve"> </w:t>
      </w:r>
      <w:r>
        <w:t xml:space="preserve">next to the euro area. The National Bank of Poland (NBP) often keeps interest</w:t>
      </w:r>
      <w:r>
        <w:t xml:space="preserve"> </w:t>
      </w:r>
      <w:r>
        <w:t xml:space="preserve">rates quite different from the European Central Bank (ECB). This gap got very big</w:t>
      </w:r>
      <w:r>
        <w:t xml:space="preserve"> </w:t>
      </w:r>
      <w:r>
        <w:t xml:space="preserve">in 2022–2023, when the NBP raised rates much higher than the ECB, and then both</w:t>
      </w:r>
      <w:r>
        <w:t xml:space="preserve"> </w:t>
      </w:r>
      <w:r>
        <w:t xml:space="preserve">banks started cutting. This gives me a lot of useful variation to work with.</w:t>
      </w:r>
    </w:p>
    <w:p>
      <w:pPr>
        <w:pStyle w:val="BodyText"/>
      </w:pPr>
      <w:r>
        <w:t xml:space="preserve">My main question is simple:</w:t>
      </w:r>
      <w:r>
        <w:t xml:space="preserve"> </w:t>
      </w:r>
      <w:r>
        <w:rPr>
          <w:b/>
          <w:bCs/>
        </w:rPr>
        <w:t xml:space="preserve">is there a stable long-run link between the EUR/PLN</w:t>
      </w:r>
      <w:r>
        <w:rPr>
          <w:b/>
          <w:bCs/>
        </w:rPr>
        <w:t xml:space="preserve"> </w:t>
      </w:r>
      <w:r>
        <w:rPr>
          <w:b/>
          <w:bCs/>
        </w:rPr>
        <w:t xml:space="preserve">rate and the NBP–ECB interest rate gap, and if the rate moves away from that</w:t>
      </w:r>
      <w:r>
        <w:rPr>
          <w:b/>
          <w:bCs/>
        </w:rPr>
        <w:t xml:space="preserve"> </w:t>
      </w:r>
      <w:r>
        <w:rPr>
          <w:b/>
          <w:bCs/>
        </w:rPr>
        <w:t xml:space="preserve">link, how fast does it come back?</w:t>
      </w:r>
    </w:p>
    <w:bookmarkEnd w:id="10"/>
    <w:bookmarkStart w:id="11" w:name="literature-revie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Literature Review</w:t>
      </w:r>
    </w:p>
    <w:p>
      <w:pPr>
        <w:pStyle w:val="FirstParagraph"/>
      </w:pPr>
      <w:r>
        <w:t xml:space="preserve">The link between interest rates and exchange rates goes back to uncovered</w:t>
      </w:r>
      <w:r>
        <w:t xml:space="preserve"> </w:t>
      </w:r>
      <w:r>
        <w:t xml:space="preserve">interest parity (UIP). In practice UIP usually fails in the short run but works</w:t>
      </w:r>
      <w:r>
        <w:t xml:space="preserve"> </w:t>
      </w:r>
      <w:r>
        <w:t xml:space="preserve">better over long horizons</w:t>
      </w:r>
      <w:r>
        <w:t xml:space="preserve"> </w:t>
      </w:r>
      <w:r>
        <w:t xml:space="preserve">(Fama 1984; Chinn and Meredith 2004)</w:t>
      </w:r>
      <w:r>
        <w:t xml:space="preserve">, which is why I use a long-run</w:t>
      </w:r>
      <w:r>
        <w:t xml:space="preserve"> </w:t>
      </w:r>
      <w:r>
        <w:t xml:space="preserve">framework.</w:t>
      </w:r>
      <w:r>
        <w:t xml:space="preserve"> </w:t>
      </w:r>
      <w:r>
        <w:t xml:space="preserve">MacDonald and Nagayasu (2000)</w:t>
      </w:r>
      <w:r>
        <w:t xml:space="preserve"> </w:t>
      </w:r>
      <w:r>
        <w:t xml:space="preserve">find a long-run link between interest rate gaps and</w:t>
      </w:r>
      <w:r>
        <w:t xml:space="preserve"> </w:t>
      </w:r>
      <w:r>
        <w:t xml:space="preserve">exchange rates for large economies, while</w:t>
      </w:r>
      <w:r>
        <w:t xml:space="preserve"> </w:t>
      </w:r>
      <w:r>
        <w:t xml:space="preserve">Frankel and Poonawala (2010)</w:t>
      </w:r>
      <w:r>
        <w:t xml:space="preserve"> </w:t>
      </w:r>
      <w:r>
        <w:t xml:space="preserve">show that emerging-market</w:t>
      </w:r>
      <w:r>
        <w:t xml:space="preserve"> </w:t>
      </w:r>
      <w:r>
        <w:t xml:space="preserve">currencies can behave differently. For the methods I follow the standard</w:t>
      </w:r>
      <w:r>
        <w:t xml:space="preserve"> </w:t>
      </w:r>
      <w:r>
        <w:t xml:space="preserve">time-series toolkit: unit-root tests</w:t>
      </w:r>
      <w:r>
        <w:t xml:space="preserve"> </w:t>
      </w:r>
      <w:r>
        <w:t xml:space="preserve">(Dickey and Fuller 1979; Kwiatkowski et al. 1992)</w:t>
      </w:r>
      <w:r>
        <w:t xml:space="preserve">,</w:t>
      </w:r>
      <w:r>
        <w:t xml:space="preserve"> </w:t>
      </w:r>
      <w:r>
        <w:t xml:space="preserve">cointegration tests</w:t>
      </w:r>
      <w:r>
        <w:t xml:space="preserve"> </w:t>
      </w:r>
      <w:r>
        <w:t xml:space="preserve">(Engle and Granger 1987; Johansen 1988; Phillips and Ouliaris 1990)</w:t>
      </w:r>
      <w:r>
        <w:t xml:space="preserve">, and the ARDL</w:t>
      </w:r>
      <w:r>
        <w:t xml:space="preserve"> </w:t>
      </w:r>
      <w:r>
        <w:t xml:space="preserve">bounds test</w:t>
      </w:r>
      <w:r>
        <w:t xml:space="preserve"> </w:t>
      </w:r>
      <w:r>
        <w:t xml:space="preserve">(Pesaran et al. 2001)</w:t>
      </w:r>
      <w:r>
        <w:t xml:space="preserve">. I also keep a simple random-walk benchmark in mind,</w:t>
      </w:r>
      <w:r>
        <w:t xml:space="preserve"> </w:t>
      </w:r>
      <w:r>
        <w:t xml:space="preserve">since</w:t>
      </w:r>
      <w:r>
        <w:t xml:space="preserve"> </w:t>
      </w:r>
      <w:r>
        <w:t xml:space="preserve">Meese and Rogoff (1983)</w:t>
      </w:r>
      <w:r>
        <w:t xml:space="preserve"> </w:t>
      </w:r>
      <w:r>
        <w:t xml:space="preserve">showed it is very hard to beat.</w:t>
      </w:r>
    </w:p>
    <w:bookmarkEnd w:id="11"/>
    <w:bookmarkStart w:id="15" w:name="dat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Data</w:t>
      </w:r>
    </w:p>
    <w:p>
      <w:pPr>
        <w:pStyle w:val="TableCaption"/>
      </w:pPr>
      <w:r>
        <w:t xml:space="preserve">Sample coverage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verag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</w:tr>
    </w:tbl>
    <w:p>
      <w:pPr>
        <w:pStyle w:val="BodyText"/>
      </w:pPr>
      <w:r>
        <w:t xml:space="preserve">I use monthly data. The variables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EUR/PLN</w:t>
      </w:r>
      <w:r>
        <w:t xml:space="preserve"> </w:t>
      </w:r>
      <w:r>
        <w:t xml:space="preserve">— the NBP Table A exchange rate, taken at the end of each month.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NBP reference rate</w:t>
      </w:r>
      <w:r>
        <w:t xml:space="preserve"> </w:t>
      </w:r>
      <w:r>
        <w:t xml:space="preserve">— Poland’s main policy rate, at month-end.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ECB main refinancing rate (MRR)</w:t>
      </w:r>
      <w:r>
        <w:t xml:space="preserve"> </w:t>
      </w:r>
      <w:r>
        <w:t xml:space="preserve">— the euro-area policy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 gap</w:t>
      </w:r>
      <w:r>
        <w:t xml:space="preserve"> </w:t>
      </w:r>
      <w:r>
        <w:t xml:space="preserve">— NBP rate minus ECB rate, in percentage 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Brent oil (control)</w:t>
      </w:r>
      <w:r>
        <w:t xml:space="preserve"> </w:t>
      </w:r>
      <w:r>
        <w:t xml:space="preserve">— monthly oil price in USD (in logs). Poland imports</w:t>
      </w:r>
      <w:r>
        <w:t xml:space="preserve"> </w:t>
      </w:r>
      <w:r>
        <w:t xml:space="preserve">oil, so the oil price can affect the zloty through trade.</w:t>
      </w:r>
    </w:p>
    <w:p>
      <w:pPr>
        <w:pStyle w:val="TableCaption"/>
      </w:pPr>
      <w:r>
        <w:t xml:space="preserve">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 statistic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ecb_rate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eurpln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nbp_rate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rate_diff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</w:tr>
    </w:tbl>
    <w:p>
      <w:pPr>
        <w:pStyle w:val="BodyText"/>
      </w:pPr>
      <w:r>
        <w:t xml:space="preserve">Figure 1 shows the two main series. The zloty was fairly stable until 2020, then</w:t>
      </w:r>
      <w:r>
        <w:t xml:space="preserve"> </w:t>
      </w:r>
      <w:r>
        <w:t xml:space="preserve">weakened strongly during the pandemic and the 2022 energy shock (the EUR/PLN rate</w:t>
      </w:r>
      <w:r>
        <w:t xml:space="preserve"> </w:t>
      </w:r>
      <w:r>
        <w:t xml:space="preserve">rose toward 4.9), before recovering. The interest rate gap stayed positive for</w:t>
      </w:r>
      <w:r>
        <w:t xml:space="preserve"> </w:t>
      </w:r>
      <w:r>
        <w:t xml:space="preserve">the whole sample — the NBP rate was always above the ECB rate — and spiked to</w:t>
      </w:r>
      <w:r>
        <w:t xml:space="preserve"> </w:t>
      </w:r>
      <w:r>
        <w:t xml:space="preserve">about 6 points in 2022–2023.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ure 1. EUR/PLN exchange rate and the NBP–ECB interest rate gap." title="" id="13" name="Picture"/>
            <a:graphic>
              <a:graphicData uri="http://schemas.openxmlformats.org/drawingml/2006/picture">
                <pic:pic>
                  <pic:nvPicPr>
                    <pic:cNvPr descr="output//fig1_seri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EUR/PLN exchange rate and the NBP–ECB interest rate gap.</w:t>
      </w:r>
    </w:p>
    <w:bookmarkEnd w:id="15"/>
    <w:bookmarkStart w:id="16" w:name="methodology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Methodology</w:t>
      </w:r>
    </w:p>
    <w:p>
      <w:pPr>
        <w:pStyle w:val="FirstParagraph"/>
      </w:pPr>
      <w:r>
        <w:t xml:space="preserve">I work in four steps.</w:t>
      </w:r>
    </w:p>
    <w:p>
      <w:pPr>
        <w:pStyle w:val="BodyText"/>
      </w:pPr>
      <w:r>
        <w:rPr>
          <w:b/>
          <w:bCs/>
        </w:rPr>
        <w:t xml:space="preserve">Step 1 — Check for unit roots.</w:t>
      </w:r>
      <w:r>
        <w:t xml:space="preserve"> </w:t>
      </w:r>
      <w:r>
        <w:t xml:space="preserve">I test if each series is stationary using two</w:t>
      </w:r>
      <w:r>
        <w:t xml:space="preserve"> </w:t>
      </w:r>
      <w:r>
        <w:t xml:space="preserve">tests together: the ADF test</w:t>
      </w:r>
      <w:r>
        <w:t xml:space="preserve"> </w:t>
      </w:r>
      <w:r>
        <w:t xml:space="preserve">(Dickey and Fuller 1979)</w:t>
      </w:r>
      <w:r>
        <w:t xml:space="preserve">, where the null is a unit root, and</w:t>
      </w:r>
      <w:r>
        <w:t xml:space="preserve"> </w:t>
      </w:r>
      <w:r>
        <w:t xml:space="preserve">the KPSS test</w:t>
      </w:r>
      <w:r>
        <w:t xml:space="preserve"> </w:t>
      </w:r>
      <w:r>
        <w:t xml:space="preserve">(Kwiatkowski et al. 1992)</w:t>
      </w:r>
      <w:r>
        <w:t xml:space="preserve">, where the null is stationary. I call a series</w:t>
      </w:r>
      <w:r>
        <w:t xml:space="preserve"> </w:t>
      </w:r>
      <w:r>
        <w:t xml:space="preserve">I(1) only if it looks non-stationary in levels but stationary after first</w:t>
      </w:r>
      <w:r>
        <w:t xml:space="preserve"> </w:t>
      </w:r>
      <w:r>
        <w:t xml:space="preserve">differencing.</w:t>
      </w:r>
    </w:p>
    <w:p>
      <w:pPr>
        <w:pStyle w:val="BodyText"/>
      </w:pPr>
      <w:r>
        <w:rPr>
          <w:b/>
          <w:bCs/>
        </w:rPr>
        <w:t xml:space="preserve">Step 2 — Test for cointegration.</w:t>
      </w:r>
      <w:r>
        <w:t xml:space="preserve"> </w:t>
      </w:r>
      <w:r>
        <w:t xml:space="preserve">If the variables are I(1), I check whether</w:t>
      </w:r>
      <w:r>
        <w:t xml:space="preserve"> </w:t>
      </w:r>
      <w:r>
        <w:t xml:space="preserve">they move together in the long run, using the Phillips–Ouliaris test</w:t>
      </w:r>
      <w:r>
        <w:t xml:space="preserve"> </w:t>
      </w:r>
      <w:r>
        <w:t xml:space="preserve">(Phillips and Ouliaris 1990)</w:t>
      </w:r>
      <w:r>
        <w:t xml:space="preserve"> </w:t>
      </w:r>
      <w:r>
        <w:t xml:space="preserve">(the Engle–Granger</w:t>
      </w:r>
      <w:r>
        <w:t xml:space="preserve"> </w:t>
      </w:r>
      <w:r>
        <w:t xml:space="preserve">(1987)</w:t>
      </w:r>
      <w:r>
        <w:t xml:space="preserve"> </w:t>
      </w:r>
      <w:r>
        <w:t xml:space="preserve">idea with the right critical</w:t>
      </w:r>
      <w:r>
        <w:t xml:space="preserve"> </w:t>
      </w:r>
      <w:r>
        <w:t xml:space="preserve">values) and the Johansen</w:t>
      </w:r>
      <w:r>
        <w:t xml:space="preserve"> </w:t>
      </w:r>
      <w:r>
        <w:t xml:space="preserve">(1988)</w:t>
      </w:r>
      <w:r>
        <w:t xml:space="preserve"> </w:t>
      </w:r>
      <w:r>
        <w:t xml:space="preserve">test.</w:t>
      </w:r>
    </w:p>
    <w:p>
      <w:pPr>
        <w:pStyle w:val="BodyText"/>
      </w:pPr>
      <w:r>
        <w:rPr>
          <w:b/>
          <w:bCs/>
        </w:rPr>
        <w:t xml:space="preserve">Step 3 — ARDL bounds test.</w:t>
      </w:r>
      <w:r>
        <w:t xml:space="preserve"> </w:t>
      </w:r>
      <w:r>
        <w:t xml:space="preserve">As my main and most robust model I use the ARDL</w:t>
      </w:r>
      <w:r>
        <w:t xml:space="preserve"> </w:t>
      </w:r>
      <w:r>
        <w:t xml:space="preserve">bounds test</w:t>
      </w:r>
      <w:r>
        <w:t xml:space="preserve"> </w:t>
      </w:r>
      <w:r>
        <w:t xml:space="preserve">(Pesaran et al. 2001)</w:t>
      </w:r>
      <w:r>
        <w:t xml:space="preserve">, which works with any mix of stationary and</w:t>
      </w:r>
      <w:r>
        <w:t xml:space="preserve"> </w:t>
      </w:r>
      <w:r>
        <w:t xml:space="preserve">non-stationary variables. It gives the long-run effect and an error-correction</w:t>
      </w:r>
      <w:r>
        <w:t xml:space="preserve"> </w:t>
      </w:r>
      <w:r>
        <w:t xml:space="preserve">model. I choose the lag lengths with the AIC.</w:t>
      </w:r>
    </w:p>
    <w:p>
      <w:pPr>
        <w:pStyle w:val="BodyText"/>
      </w:pPr>
      <w:r>
        <w:rPr>
          <w:b/>
          <w:bCs/>
        </w:rPr>
        <w:t xml:space="preserve">Step 4 — ARIMA benchmark.</w:t>
      </w:r>
      <w:r>
        <w:t xml:space="preserve"> </w:t>
      </w:r>
      <w:r>
        <w:t xml:space="preserve">I fit a simple ARIMA model on the exchange rate</w:t>
      </w:r>
      <w:r>
        <w:t xml:space="preserve"> </w:t>
      </w:r>
      <w:r>
        <w:t xml:space="preserve">alone, holding out the last 12 months, to see if the interest rate information</w:t>
      </w:r>
      <w:r>
        <w:t xml:space="preserve"> </w:t>
      </w:r>
      <w:r>
        <w:t xml:space="preserve">beats a pure time-series model</w:t>
      </w:r>
      <w:r>
        <w:t xml:space="preserve"> </w:t>
      </w:r>
      <w:r>
        <w:t xml:space="preserve">(Meese and Rogoff 1983)</w:t>
      </w:r>
      <w:r>
        <w:t xml:space="preserve">.</w:t>
      </w:r>
    </w:p>
    <w:p>
      <w:pPr>
        <w:pStyle w:val="BodyText"/>
      </w:pPr>
      <w:r>
        <w:t xml:space="preserve">I finish with residual checks (Breusch–Godfrey, Breusch–Pagan, Jarque–Bera,</w:t>
      </w:r>
      <w:r>
        <w:t xml:space="preserve"> </w:t>
      </w:r>
      <w:r>
        <w:t xml:space="preserve">Ramsey RESET), a Zivot–Andrews test that allows one break, and a CUSUM stability</w:t>
      </w:r>
      <w:r>
        <w:t xml:space="preserve"> </w:t>
      </w:r>
      <w:r>
        <w:t xml:space="preserve">test.</w:t>
      </w:r>
    </w:p>
    <w:bookmarkEnd w:id="16"/>
    <w:bookmarkStart w:id="37" w:name="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Results</w:t>
      </w:r>
    </w:p>
    <w:bookmarkStart w:id="23" w:name="unit-root-test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Unit-root tests</w:t>
      </w:r>
    </w:p>
    <w:p>
      <w:pPr>
        <w:pStyle w:val="TableCaption"/>
      </w:pPr>
      <w:r>
        <w:t xml:space="preserve">Order of integration (from ADF + KPSS).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rder of integration (from ADF + KPS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ln_eurpln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I(1)</w:t>
            </w:r>
          </w:p>
        </w:tc>
      </w:tr>
    </w:tbl>
    <w:p>
      <w:pPr>
        <w:pStyle w:val="BodyText"/>
      </w:pPr>
      <w:r>
        <w:t xml:space="preserve">All three variables are I(1): non-stationary in levels but stationary after first</w:t>
      </w:r>
      <w:r>
        <w:t xml:space="preserve"> </w:t>
      </w:r>
      <w:r>
        <w:t xml:space="preserve">differencing. Figure 2 shows this clearly for the exchange rate. The ACF of the</w:t>
      </w:r>
      <w:r>
        <w:t xml:space="preserve"> </w:t>
      </w:r>
      <w:r>
        <w:t xml:space="preserve">level falls very slowly (a typical sign of a unit root), while the ACF of the</w:t>
      </w:r>
      <w:r>
        <w:t xml:space="preserve"> </w:t>
      </w:r>
      <w:r>
        <w:t xml:space="preserve">differenced series dies out almost at once, and the differenced series in</w:t>
      </w:r>
      <w:r>
        <w:t xml:space="preserve"> </w:t>
      </w:r>
      <w:r>
        <w:t xml:space="preserve">Figure 3 looks like noise around zero. Because the interest rate gap is also</w:t>
      </w:r>
      <w:r>
        <w:t xml:space="preserve"> </w:t>
      </w:r>
      <w:r>
        <w:t xml:space="preserve">I(1), I am allowed to run the cointegration tests, and I still use the ARDL</w:t>
      </w:r>
      <w:r>
        <w:t xml:space="preserve"> </w:t>
      </w:r>
      <w:r>
        <w:t xml:space="preserve">bounds test as a robustness check.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ure 2. ACF and PACF of log EUR/PLN, in levels and first differences." title="" id="18" name="Picture"/>
            <a:graphic>
              <a:graphicData uri="http://schemas.openxmlformats.org/drawingml/2006/picture">
                <pic:pic>
                  <pic:nvPicPr>
                    <pic:cNvPr descr="output//fig4_acf_pacf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ACF and PACF of log EUR/PLN, in levels and first differences.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3. First difference of log EUR/PLN (monthly log-returns)." title="" id="21" name="Picture"/>
            <a:graphic>
              <a:graphicData uri="http://schemas.openxmlformats.org/drawingml/2006/picture">
                <pic:pic>
                  <pic:nvPicPr>
                    <pic:cNvPr descr="output//fig3_return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First difference of log EUR/PLN (monthly log-returns).</w:t>
      </w:r>
    </w:p>
    <w:bookmarkEnd w:id="23"/>
    <w:bookmarkStart w:id="24" w:name="cointegr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Cointegration</w:t>
      </w:r>
    </w:p>
    <w:p>
      <w:pPr>
        <w:pStyle w:val="SourceCode"/>
      </w:pPr>
      <w:r>
        <w:rPr>
          <w:rStyle w:val="VerbatimChar"/>
        </w:rPr>
        <w:t xml:space="preserve">Phillips-Ouliaris statistic: -12.322 | p-value: 0.15 </w:t>
      </w:r>
    </w:p>
    <w:p>
      <w:pPr>
        <w:pStyle w:val="FirstParagraph"/>
      </w:pPr>
      <w:r>
        <w:t xml:space="preserve">The Phillips–Ouliaris test gives a p-value of about 0.15, so I cannot reject the</w:t>
      </w:r>
      <w:r>
        <w:t xml:space="preserve"> </w:t>
      </w:r>
      <w:r>
        <w:t xml:space="preserve">null of no cointegration. The Johansen trace test gives the same overall message</w:t>
      </w:r>
      <w:r>
        <w:t xml:space="preserve"> </w:t>
      </w:r>
      <w:r>
        <w:t xml:space="preserve">and does not point to a stable long-run relationship either. In short, the level</w:t>
      </w:r>
      <w:r>
        <w:t xml:space="preserve"> </w:t>
      </w:r>
      <w:r>
        <w:t xml:space="preserve">of the exchange rate and the level of the interest rate gap do not seem to share</w:t>
      </w:r>
      <w:r>
        <w:t xml:space="preserve"> </w:t>
      </w:r>
      <w:r>
        <w:t xml:space="preserve">a stable long-run path.</w:t>
      </w:r>
    </w:p>
    <w:bookmarkEnd w:id="24"/>
    <w:bookmarkStart w:id="28" w:name="ardl-bounds-test-and-error-correct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ARDL bounds test and error correction</w:t>
      </w:r>
    </w:p>
    <w:p>
      <w:pPr>
        <w:pStyle w:val="SourceCode"/>
      </w:pPr>
      <w:r>
        <w:rPr>
          <w:rStyle w:val="VerbatimChar"/>
        </w:rPr>
        <w:t xml:space="preserve">ARDL bounds F-statistic: 1.905 </w:t>
      </w:r>
    </w:p>
    <w:p>
      <w:pPr>
        <w:pStyle w:val="FirstParagraph"/>
      </w:pPr>
      <w:r>
        <w:t xml:space="preserve">The bounds F-statistic is about 1.9. This is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lower Pesaran et al.</w:t>
      </w:r>
      <w:r>
        <w:t xml:space="preserve"> </w:t>
      </w:r>
      <w:r>
        <w:t xml:space="preserve">(2001) critical bound (around 3–4 at the usual 5–10% levels for two regressors),</w:t>
      </w:r>
      <w:r>
        <w:t xml:space="preserve"> </w:t>
      </w:r>
      <w:r>
        <w:t xml:space="preserve">so once again I cannot reject</w:t>
      </w:r>
      <w:r>
        <w:t xml:space="preserve"> </w:t>
      </w:r>
      <w:r>
        <w:t xml:space="preserve">“no long-run relationship”</w:t>
      </w:r>
      <w:r>
        <w:t xml:space="preserve">. The ARDL model still</w:t>
      </w:r>
      <w:r>
        <w:t xml:space="preserve"> </w:t>
      </w:r>
      <w:r>
        <w:t xml:space="preserve">tracks the data very closely in-sample (Figure 4), but this good fit comes mostly</w:t>
      </w:r>
      <w:r>
        <w:t xml:space="preserve"> </w:t>
      </w:r>
      <w:r>
        <w:t xml:space="preserve">from the lagged exchange rate itself, not from the interest rate gap — the</w:t>
      </w:r>
      <w:r>
        <w:t xml:space="preserve"> </w:t>
      </w:r>
      <w:r>
        <w:t xml:space="preserve">exchange rate mainly explains itself. Because I find no long-run link, the</w:t>
      </w:r>
      <w:r>
        <w:t xml:space="preserve"> </w:t>
      </w:r>
      <w:r>
        <w:t xml:space="preserve">error-correction term is not meaningful here, so I do not read a speed of</w:t>
      </w:r>
      <w:r>
        <w:t xml:space="preserve"> </w:t>
      </w:r>
      <w:r>
        <w:t xml:space="preserve">adjustment from it.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4. ARDL model: actual vs fitted log EUR/PLN." title="" id="26" name="Picture"/>
            <a:graphic>
              <a:graphicData uri="http://schemas.openxmlformats.org/drawingml/2006/picture">
                <pic:pic>
                  <pic:nvPicPr>
                    <pic:cNvPr descr="output//fig5_ardl_f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ARDL model: actual vs fitted log EUR/PLN.</w:t>
      </w:r>
    </w:p>
    <w:bookmarkEnd w:id="28"/>
    <w:bookmarkStart w:id="32" w:name="arima-benchmark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ARIMA benchmark</w:t>
      </w:r>
    </w:p>
    <w:p>
      <w:pPr>
        <w:pStyle w:val="TableCaption"/>
      </w:pPr>
      <w:r>
        <w:t xml:space="preserve">ARIMA forecast accuracy (last 12 months).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RIMA forecast accuracy (last 12 months)."/>
      </w:tblPr>
      <w:tblGrid>
        <w:gridCol w:w="1391"/>
        <w:gridCol w:w="749"/>
        <w:gridCol w:w="749"/>
        <w:gridCol w:w="749"/>
        <w:gridCol w:w="856"/>
        <w:gridCol w:w="749"/>
        <w:gridCol w:w="749"/>
        <w:gridCol w:w="856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Theil’s 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</w:t>
            </w:r>
          </w:p>
        </w:tc>
      </w:tr>
    </w:tbl>
    <w:p>
      <w:pPr>
        <w:pStyle w:val="BodyText"/>
      </w:pPr>
      <w:r>
        <w:t xml:space="preserve">The ARIMA model forecasts an almost flat path (Figure 5). On the 12-month test</w:t>
      </w:r>
      <w:r>
        <w:t xml:space="preserve"> </w:t>
      </w:r>
      <w:r>
        <w:t xml:space="preserve">set the errors are small (MAPE about 0.3%) and Theil’s U is about 0.97 — just</w:t>
      </w:r>
      <w:r>
        <w:t xml:space="preserve"> </w:t>
      </w:r>
      <w:r>
        <w:t xml:space="preserve">under 1. A value close to 1 means the model is only slightly better than a naive</w:t>
      </w:r>
      <w:r>
        <w:t xml:space="preserve"> </w:t>
      </w:r>
      <w:r>
        <w:t xml:space="preserve">random-walk forecast. This matches</w:t>
      </w:r>
      <w:r>
        <w:t xml:space="preserve"> </w:t>
      </w:r>
      <w:r>
        <w:t xml:space="preserve">Meese and Rogoff (1983)</w:t>
      </w:r>
      <w:r>
        <w:t xml:space="preserve">: the exchange rate is very hard to</w:t>
      </w:r>
      <w:r>
        <w:t xml:space="preserve"> </w:t>
      </w:r>
      <w:r>
        <w:t xml:space="preserve">beat with a simple model, and the interest rate gap does not clearly help.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5. ARIMA forecast vs realised values." title="" id="30" name="Picture"/>
            <a:graphic>
              <a:graphicData uri="http://schemas.openxmlformats.org/drawingml/2006/picture">
                <pic:pic>
                  <pic:nvPicPr>
                    <pic:cNvPr descr="output//fig6_arima_forecas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ARIMA forecast vs realised values.</w:t>
      </w:r>
    </w:p>
    <w:bookmarkEnd w:id="32"/>
    <w:bookmarkStart w:id="36" w:name="diagnostics-and-stability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Diagnostics and stability</w:t>
      </w:r>
    </w:p>
    <w:p>
      <w:pPr>
        <w:pStyle w:val="FirstParagraph"/>
      </w:pPr>
      <w:r>
        <w:t xml:space="preserve">The residual checks are broadly acceptable. The clearest result is about</w:t>
      </w:r>
      <w:r>
        <w:t xml:space="preserve"> </w:t>
      </w:r>
      <w:r>
        <w:t xml:space="preserve">stability: the OLS-CUSUM line in Figure 6 moves far outside its red confidence</w:t>
      </w:r>
      <w:r>
        <w:t xml:space="preserve"> </w:t>
      </w:r>
      <w:r>
        <w:t xml:space="preserve">bands, and the Zivot–Andrews test finds a structural break around the 2020–2022</w:t>
      </w:r>
      <w:r>
        <w:t xml:space="preserve"> </w:t>
      </w:r>
      <w:r>
        <w:t xml:space="preserve">period. This is exactly when the pandemic hit and then the NBP raised rates</w:t>
      </w:r>
      <w:r>
        <w:t xml:space="preserve"> </w:t>
      </w:r>
      <w:r>
        <w:t xml:space="preserve">sharply. So even if there were a short-run link between the variables, it did not</w:t>
      </w:r>
      <w:r>
        <w:t xml:space="preserve"> </w:t>
      </w:r>
      <w:r>
        <w:t xml:space="preserve">stay stable across the whole sample — which is another reason the long-run tests</w:t>
      </w:r>
      <w:r>
        <w:t xml:space="preserve"> </w:t>
      </w:r>
      <w:r>
        <w:t xml:space="preserve">do not find a fixed relationship.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6. OLS-CUSUM stability test of the long-run relationship." title="" id="34" name="Picture"/>
            <a:graphic>
              <a:graphicData uri="http://schemas.openxmlformats.org/drawingml/2006/picture">
                <pic:pic>
                  <pic:nvPicPr>
                    <pic:cNvPr descr="output//fig7_cusum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OLS-CUSUM stability test of the long-run relationship.</w:t>
      </w:r>
    </w:p>
    <w:bookmarkEnd w:id="36"/>
    <w:bookmarkEnd w:id="37"/>
    <w:bookmarkStart w:id="38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Over 2012–2026 I do not find a stable long-run link between the EUR/PLN rate and</w:t>
      </w:r>
      <w:r>
        <w:t xml:space="preserve"> </w:t>
      </w:r>
      <w:r>
        <w:t xml:space="preserve">the NBP–ECB interest rate gap. All three series are I(1), but the cointegration</w:t>
      </w:r>
      <w:r>
        <w:t xml:space="preserve"> </w:t>
      </w:r>
      <w:r>
        <w:t xml:space="preserve">tests (Phillips–Ouliaris and Johansen) and the ARDL bounds test all point to no</w:t>
      </w:r>
      <w:r>
        <w:t xml:space="preserve"> </w:t>
      </w:r>
      <w:r>
        <w:t xml:space="preserve">long-run relationship, and the stability tests show a clear break around</w:t>
      </w:r>
      <w:r>
        <w:t xml:space="preserve"> </w:t>
      </w:r>
      <w:r>
        <w:t xml:space="preserve">2020–2022. The exchange rate behaves close to a random walk, and a simple ARIMA</w:t>
      </w:r>
      <w:r>
        <w:t xml:space="preserve"> </w:t>
      </w:r>
      <w:r>
        <w:t xml:space="preserve">model is only marginally better than a naive forecast. This result fits the wider</w:t>
      </w:r>
      <w:r>
        <w:t xml:space="preserve"> </w:t>
      </w:r>
      <w:r>
        <w:t xml:space="preserve">literature, where interest-parity links are weak and exchange rates are hard to</w:t>
      </w:r>
      <w:r>
        <w:t xml:space="preserve"> </w:t>
      </w:r>
      <w:r>
        <w:t xml:space="preserve">forecast</w:t>
      </w:r>
      <w:r>
        <w:t xml:space="preserve"> </w:t>
      </w:r>
      <w:r>
        <w:t xml:space="preserve">(Meese and Rogoff 1983; Fama 1984)</w:t>
      </w:r>
      <w:r>
        <w:t xml:space="preserve">.</w:t>
      </w:r>
    </w:p>
    <w:p>
      <w:pPr>
        <w:pStyle w:val="BodyText"/>
      </w:pPr>
      <w:r>
        <w:t xml:space="preserve">The study has limits. I use nominal interest rates rather than real ones; I do</w:t>
      </w:r>
      <w:r>
        <w:t xml:space="preserve"> </w:t>
      </w:r>
      <w:r>
        <w:t xml:space="preserve">not model the risk premium that matters for emerging-market currencies; and I</w:t>
      </w:r>
      <w:r>
        <w:t xml:space="preserve"> </w:t>
      </w:r>
      <w:r>
        <w:t xml:space="preserve">allow only one structural break. Useful next steps would be a nonlinear or</w:t>
      </w:r>
      <w:r>
        <w:t xml:space="preserve"> </w:t>
      </w:r>
      <w:r>
        <w:t xml:space="preserve">regime-switching ARDL model, using real interest rates, or adding a risk measure</w:t>
      </w:r>
      <w:r>
        <w:t xml:space="preserve"> </w:t>
      </w:r>
      <w:r>
        <w:t xml:space="preserve">such as the VIX to capture global risk sentiment.</w:t>
      </w:r>
    </w:p>
    <w:bookmarkEnd w:id="38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Start w:id="39" w:name="ref-chinn2004"/>
    <w:p>
      <w:pPr>
        <w:pStyle w:val="Bibliography"/>
      </w:pPr>
      <w:r>
        <w:t xml:space="preserve">Chinn, Menzie D., and Guy Meredith. 2004.</w:t>
      </w:r>
      <w:r>
        <w:t xml:space="preserve"> </w:t>
      </w:r>
      <w:r>
        <w:t xml:space="preserve">“Monetary Policy and Long-Horizon Uncovered Interest Parity.”</w:t>
      </w:r>
      <w:r>
        <w:t xml:space="preserve"> </w:t>
      </w:r>
      <w:r>
        <w:rPr>
          <w:i/>
          <w:iCs/>
        </w:rPr>
        <w:t xml:space="preserve">IMF Staff Papers</w:t>
      </w:r>
      <w:r>
        <w:t xml:space="preserve"> </w:t>
      </w:r>
      <w:r>
        <w:t xml:space="preserve">51 (3): 409–30.</w:t>
      </w:r>
    </w:p>
    <w:bookmarkEnd w:id="39"/>
    <w:bookmarkStart w:id="40" w:name="ref-dickey1979"/>
    <w:p>
      <w:pPr>
        <w:pStyle w:val="Bibliography"/>
      </w:pPr>
      <w:r>
        <w:t xml:space="preserve">Dickey, David A., and Wayne A. Fuller. 1979.</w:t>
      </w:r>
      <w:r>
        <w:t xml:space="preserve"> </w:t>
      </w:r>
      <w:r>
        <w:t xml:space="preserve">“Distribution of the Estimators for Autoregressive Time Series with a Unit Root.”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74 (366): 427–31.</w:t>
      </w:r>
    </w:p>
    <w:bookmarkEnd w:id="40"/>
    <w:bookmarkStart w:id="41" w:name="ref-engle1987"/>
    <w:p>
      <w:pPr>
        <w:pStyle w:val="Bibliography"/>
      </w:pPr>
      <w:r>
        <w:t xml:space="preserve">Engle, Robert F., and Clive W. J. Granger. 1987.</w:t>
      </w:r>
      <w:r>
        <w:t xml:space="preserve"> </w:t>
      </w:r>
      <w:r>
        <w:t xml:space="preserve">“Co-Integration and Error Correction: Representation, Estimation, and Testing.”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55 (2): 251–76.</w:t>
      </w:r>
    </w:p>
    <w:bookmarkEnd w:id="41"/>
    <w:bookmarkStart w:id="42" w:name="ref-fama1984"/>
    <w:p>
      <w:pPr>
        <w:pStyle w:val="Bibliography"/>
      </w:pPr>
      <w:r>
        <w:t xml:space="preserve">Fama, Eugene F. 1984.</w:t>
      </w:r>
      <w:r>
        <w:t xml:space="preserve"> </w:t>
      </w:r>
      <w:r>
        <w:t xml:space="preserve">“Forward and Spot Exchange Rates.”</w:t>
      </w:r>
      <w:r>
        <w:t xml:space="preserve"> </w:t>
      </w:r>
      <w:r>
        <w:rPr>
          <w:i/>
          <w:iCs/>
        </w:rPr>
        <w:t xml:space="preserve">Journal of Monetary Economics</w:t>
      </w:r>
      <w:r>
        <w:t xml:space="preserve"> </w:t>
      </w:r>
      <w:r>
        <w:t xml:space="preserve">14 (3): 319–38.</w:t>
      </w:r>
    </w:p>
    <w:bookmarkEnd w:id="42"/>
    <w:bookmarkStart w:id="43" w:name="ref-frankel2010"/>
    <w:p>
      <w:pPr>
        <w:pStyle w:val="Bibliography"/>
      </w:pPr>
      <w:r>
        <w:t xml:space="preserve">Frankel, Jeffrey, and Jumana Poonawala. 2010.</w:t>
      </w:r>
      <w:r>
        <w:t xml:space="preserve"> </w:t>
      </w:r>
      <w:r>
        <w:t xml:space="preserve">“The Forward Market in Emerging Currencies: Less Biased Than in Major Currencies.”</w:t>
      </w:r>
      <w:r>
        <w:t xml:space="preserve"> </w:t>
      </w:r>
      <w:r>
        <w:rPr>
          <w:i/>
          <w:iCs/>
        </w:rPr>
        <w:t xml:space="preserve">Journal of International Money and Finance</w:t>
      </w:r>
      <w:r>
        <w:t xml:space="preserve"> </w:t>
      </w:r>
      <w:r>
        <w:t xml:space="preserve">29 (3): 585–98.</w:t>
      </w:r>
    </w:p>
    <w:bookmarkEnd w:id="43"/>
    <w:bookmarkStart w:id="44" w:name="ref-johansen1988"/>
    <w:p>
      <w:pPr>
        <w:pStyle w:val="Bibliography"/>
      </w:pPr>
      <w:r>
        <w:t xml:space="preserve">Johansen, Søren. 1988.</w:t>
      </w:r>
      <w:r>
        <w:t xml:space="preserve"> </w:t>
      </w:r>
      <w:r>
        <w:t xml:space="preserve">“Statistical Analysis of Cointegration Vectors.”</w:t>
      </w:r>
      <w:r>
        <w:t xml:space="preserve"> </w:t>
      </w:r>
      <w:r>
        <w:rPr>
          <w:i/>
          <w:iCs/>
        </w:rPr>
        <w:t xml:space="preserve">Journal of Economic Dynamics and Control</w:t>
      </w:r>
      <w:r>
        <w:t xml:space="preserve"> </w:t>
      </w:r>
      <w:r>
        <w:t xml:space="preserve">12 (2–3): 231–54.</w:t>
      </w:r>
    </w:p>
    <w:bookmarkEnd w:id="44"/>
    <w:bookmarkStart w:id="45" w:name="ref-kwiatkowski1992"/>
    <w:p>
      <w:pPr>
        <w:pStyle w:val="Bibliography"/>
      </w:pPr>
      <w:r>
        <w:t xml:space="preserve">Kwiatkowski, Denis, Peter C. B. Phillips, Peter Schmidt, and Yongcheol Shin. 1992.</w:t>
      </w:r>
      <w:r>
        <w:t xml:space="preserve"> </w:t>
      </w:r>
      <w:r>
        <w:t xml:space="preserve">“Testing the Null Hypothesis of Stationarity Against the Alternative of a Unit Root.”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54 (1–3): 159–78.</w:t>
      </w:r>
    </w:p>
    <w:bookmarkEnd w:id="45"/>
    <w:bookmarkStart w:id="46" w:name="ref-macdonald2000"/>
    <w:p>
      <w:pPr>
        <w:pStyle w:val="Bibliography"/>
      </w:pPr>
      <w:r>
        <w:t xml:space="preserve">MacDonald, Ronald, and Jun Nagayasu. 2000.</w:t>
      </w:r>
      <w:r>
        <w:t xml:space="preserve"> </w:t>
      </w:r>
      <w:r>
        <w:t xml:space="preserve">“The Long-Run Relationship Between Real Exchange Rates and Real Interest Rate Differentials.”</w:t>
      </w:r>
      <w:r>
        <w:t xml:space="preserve"> </w:t>
      </w:r>
      <w:r>
        <w:rPr>
          <w:i/>
          <w:iCs/>
        </w:rPr>
        <w:t xml:space="preserve">IMF Staff Papers</w:t>
      </w:r>
      <w:r>
        <w:t xml:space="preserve"> </w:t>
      </w:r>
      <w:r>
        <w:t xml:space="preserve">47 (1): 116–28.</w:t>
      </w:r>
    </w:p>
    <w:bookmarkEnd w:id="46"/>
    <w:bookmarkStart w:id="47" w:name="ref-meese1983"/>
    <w:p>
      <w:pPr>
        <w:pStyle w:val="Bibliography"/>
      </w:pPr>
      <w:r>
        <w:t xml:space="preserve">Meese, Richard A., and Kenneth Rogoff. 1983.</w:t>
      </w:r>
      <w:r>
        <w:t xml:space="preserve"> </w:t>
      </w:r>
      <w:r>
        <w:t xml:space="preserve">“Empirical Exchange Rate Models of the Seventies: Do They Fit Out of Sample?”</w:t>
      </w:r>
      <w:r>
        <w:t xml:space="preserve"> </w:t>
      </w:r>
      <w:r>
        <w:rPr>
          <w:i/>
          <w:iCs/>
        </w:rPr>
        <w:t xml:space="preserve">Journal of International Economics</w:t>
      </w:r>
      <w:r>
        <w:t xml:space="preserve"> </w:t>
      </w:r>
      <w:r>
        <w:t xml:space="preserve">14 (1–2): 3–24.</w:t>
      </w:r>
    </w:p>
    <w:bookmarkEnd w:id="47"/>
    <w:bookmarkStart w:id="48" w:name="ref-pesaran2001"/>
    <w:p>
      <w:pPr>
        <w:pStyle w:val="Bibliography"/>
      </w:pPr>
      <w:r>
        <w:t xml:space="preserve">Pesaran, M. Hashem, Yongcheol Shin, and Richard J. Smith. 2001.</w:t>
      </w:r>
      <w:r>
        <w:t xml:space="preserve"> </w:t>
      </w:r>
      <w:r>
        <w:t xml:space="preserve">“Bounds Testing Approaches to the Analysis of Level Relationships.”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 </w:t>
      </w:r>
      <w:r>
        <w:t xml:space="preserve">16 (3): 289–326.</w:t>
      </w:r>
    </w:p>
    <w:bookmarkEnd w:id="48"/>
    <w:bookmarkStart w:id="49" w:name="ref-phillips1990"/>
    <w:p>
      <w:pPr>
        <w:pStyle w:val="Bibliography"/>
      </w:pPr>
      <w:r>
        <w:t xml:space="preserve">Phillips, Peter C. B., and Sam Ouliaris. 1990.</w:t>
      </w:r>
      <w:r>
        <w:t xml:space="preserve"> </w:t>
      </w:r>
      <w:r>
        <w:t xml:space="preserve">“Asymptotic Properties of Residual Based Tests for Cointegration.”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58 (1): 165–93.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Drives the EUR/PLN Exchange Rate? Interest Rates, Cointegration and an ARDL Model</dc:title>
  <dc:creator>Ondřej Marvan (student ID 477001)</dc:creator>
  <cp:keywords/>
  <dcterms:created xsi:type="dcterms:W3CDTF">2026-06-07T14:00:15Z</dcterms:created>
  <dcterms:modified xsi:type="dcterms:W3CDTF">2026-06-07T14:00:15Z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07 June 2026</vt:lpwstr>
  </property>
  <property fmtid="{D5CDD505-2E9C-101B-9397-08002B2CF9AE}" pid="4" name="output">
    <vt:lpwstr/>
  </property>
</Properties>
</file>