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Drives the EUR/PLN Exchange Rate? Interest Rates, Cointegration and an ARDL Model</w:t>
      </w:r>
    </w:p>
    <w:p>
      <w:pPr>
        <w:pStyle w:val="Author"/>
      </w:pPr>
      <w:r>
        <w:t xml:space="preserve">Ondřej Marvan (student ID 477001)</w:t>
      </w:r>
    </w:p>
    <w:p>
      <w:pPr>
        <w:pStyle w:val="Date"/>
      </w:pPr>
      <w:r>
        <w:t xml:space="preserve">02 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Abstract</w:t>
      </w:r>
    </w:p>
    <w:p>
      <w:pPr>
        <w:pStyle w:val="FirstParagraph"/>
      </w:pPr>
      <w:r>
        <w:t xml:space="preserve">In this project I check whether the EUR/PLN exchange rate is linked to the gap</w:t>
      </w:r>
      <w:r>
        <w:t xml:space="preserve"> </w:t>
      </w:r>
      <w:r>
        <w:t xml:space="preserve">between Polish and euro-area interest rates. I use monthly data from</w:t>
      </w:r>
      <w:r>
        <w:t xml:space="preserve"> </w:t>
      </w:r>
      <w:r>
        <w:t xml:space="preserve">2012 to 2026</w:t>
      </w:r>
      <w:r>
        <w:t xml:space="preserve"> </w:t>
      </w:r>
      <w:r>
        <w:t xml:space="preserve">(173 months). I first test if the series are stationary, then I look for</w:t>
      </w:r>
      <w:r>
        <w:t xml:space="preserve"> </w:t>
      </w:r>
      <w:r>
        <w:t xml:space="preserve">a long-run link using cointegration tests and an ARDL model. I also add Brent oil</w:t>
      </w:r>
      <w:r>
        <w:t xml:space="preserve"> </w:t>
      </w:r>
      <w:r>
        <w:t xml:space="preserve">as a control and use a simple ARIMA model as a benchmark. [Write the main result</w:t>
      </w:r>
      <w:r>
        <w:t xml:space="preserve"> </w:t>
      </w:r>
      <w:r>
        <w:t xml:space="preserve">here once the models are run — for example, whether I find a long-run link and</w:t>
      </w:r>
      <w:r>
        <w:t xml:space="preserve"> </w:t>
      </w:r>
      <w:r>
        <w:t xml:space="preserve">how fast the exchange rate goes back to it.]</w:t>
      </w:r>
    </w:p>
    <w:bookmarkEnd w:id="9"/>
    <w:bookmarkStart w:id="10" w:name="introduc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Introduction</w:t>
      </w:r>
    </w:p>
    <w:p>
      <w:pPr>
        <w:pStyle w:val="FirstParagraph"/>
      </w:pPr>
      <w:r>
        <w:t xml:space="preserve">The link between exchange rates and interest rates is a classic topic in</w:t>
      </w:r>
      <w:r>
        <w:t xml:space="preserve"> </w:t>
      </w:r>
      <w:r>
        <w:t xml:space="preserve">international finance. The main idea is uncovered interest parity (UIP): if one</w:t>
      </w:r>
      <w:r>
        <w:t xml:space="preserve"> </w:t>
      </w:r>
      <w:r>
        <w:t xml:space="preserve">country has higher interest rates, its currency is expected to weaken by about</w:t>
      </w:r>
      <w:r>
        <w:t xml:space="preserve"> </w:t>
      </w:r>
      <w:r>
        <w:t xml:space="preserve">the same amount, so investors do not get a free profit. In practice this idea</w:t>
      </w:r>
      <w:r>
        <w:t xml:space="preserve"> </w:t>
      </w:r>
      <w:r>
        <w:t xml:space="preserve">often fails in the short run but works better over longer periods</w:t>
      </w:r>
      <w:r>
        <w:t xml:space="preserve"> </w:t>
      </w:r>
      <w:r>
        <w:t xml:space="preserve">(Chinn and Meredith 2004; Fama 1984)</w:t>
      </w:r>
      <w:r>
        <w:t xml:space="preserve">.</w:t>
      </w:r>
    </w:p>
    <w:p>
      <w:pPr>
        <w:pStyle w:val="BodyText"/>
      </w:pPr>
      <w:r>
        <w:t xml:space="preserve">Poland is a good case to study. It has its own currency, floats freely, and sits</w:t>
      </w:r>
      <w:r>
        <w:t xml:space="preserve"> </w:t>
      </w:r>
      <w:r>
        <w:t xml:space="preserve">next to the euro area. The National Bank of Poland (NBP) often keeps interest</w:t>
      </w:r>
      <w:r>
        <w:t xml:space="preserve"> </w:t>
      </w:r>
      <w:r>
        <w:t xml:space="preserve">rates quite different from the European Central Bank (ECB). This gap got very big</w:t>
      </w:r>
      <w:r>
        <w:t xml:space="preserve"> </w:t>
      </w:r>
      <w:r>
        <w:t xml:space="preserve">in 2022–2023, when the NBP raised rates much higher than the ECB, and then both</w:t>
      </w:r>
      <w:r>
        <w:t xml:space="preserve"> </w:t>
      </w:r>
      <w:r>
        <w:t xml:space="preserve">banks started cutting. This gives me a lot of useful variation to work with.</w:t>
      </w:r>
    </w:p>
    <w:p>
      <w:pPr>
        <w:pStyle w:val="BodyText"/>
      </w:pPr>
      <w:r>
        <w:t xml:space="preserve">My main question is simple:</w:t>
      </w:r>
      <w:r>
        <w:t xml:space="preserve"> </w:t>
      </w:r>
      <w:r>
        <w:rPr>
          <w:b/>
          <w:bCs/>
        </w:rPr>
        <w:t xml:space="preserve">is there a stable long-run link between the EUR/PLN</w:t>
      </w:r>
      <w:r>
        <w:rPr>
          <w:b/>
          <w:bCs/>
        </w:rPr>
        <w:t xml:space="preserve"> </w:t>
      </w:r>
      <w:r>
        <w:rPr>
          <w:b/>
          <w:bCs/>
        </w:rPr>
        <w:t xml:space="preserve">rate and the NBP–ECB interest rate gap, and if the rate moves away from that</w:t>
      </w:r>
      <w:r>
        <w:rPr>
          <w:b/>
          <w:bCs/>
        </w:rPr>
        <w:t xml:space="preserve"> </w:t>
      </w:r>
      <w:r>
        <w:rPr>
          <w:b/>
          <w:bCs/>
        </w:rPr>
        <w:t xml:space="preserve">link, how fast does it come back?</w:t>
      </w:r>
    </w:p>
    <w:bookmarkEnd w:id="10"/>
    <w:bookmarkStart w:id="11" w:name="literature-review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Literature Review</w:t>
      </w:r>
    </w:p>
    <w:p>
      <w:pPr>
        <w:pStyle w:val="FirstParagraph"/>
      </w:pPr>
      <w:r>
        <w:rPr>
          <w:b/>
          <w:bCs/>
        </w:rPr>
        <w:t xml:space="preserve">Exchange rates and UIP.</w:t>
      </w:r>
      <w:r>
        <w:t xml:space="preserve"> </w:t>
      </w:r>
      <w:r>
        <w:t xml:space="preserve">A famous result by</w:t>
      </w:r>
      <w:r>
        <w:t xml:space="preserve"> </w:t>
      </w:r>
      <w:r>
        <w:t xml:space="preserve">Meese and Rogoff (1983)</w:t>
      </w:r>
      <w:r>
        <w:t xml:space="preserve"> </w:t>
      </w:r>
      <w:r>
        <w:t xml:space="preserve">showed that complex</w:t>
      </w:r>
      <w:r>
        <w:t xml:space="preserve"> </w:t>
      </w:r>
      <w:r>
        <w:t xml:space="preserve">exchange-rate models often cannot beat a simple random walk in short-run</w:t>
      </w:r>
      <w:r>
        <w:t xml:space="preserve"> </w:t>
      </w:r>
      <w:r>
        <w:t xml:space="preserve">forecasts. That is why I also include a basic ARIMA model as a benchmark.</w:t>
      </w:r>
      <w:r>
        <w:t xml:space="preserve"> </w:t>
      </w:r>
      <w:r>
        <w:t xml:space="preserve">Fama (1984)</w:t>
      </w:r>
      <w:r>
        <w:t xml:space="preserve"> </w:t>
      </w:r>
      <w:r>
        <w:t xml:space="preserve">found that interest rate gaps are biased predictors of future currency</w:t>
      </w:r>
      <w:r>
        <w:t xml:space="preserve"> </w:t>
      </w:r>
      <w:r>
        <w:t xml:space="preserve">moves (the</w:t>
      </w:r>
      <w:r>
        <w:t xml:space="preserve"> </w:t>
      </w:r>
      <w:r>
        <w:t xml:space="preserve">“forward premium puzzle”</w:t>
      </w:r>
      <w:r>
        <w:t xml:space="preserve">). Later,</w:t>
      </w:r>
      <w:r>
        <w:t xml:space="preserve"> </w:t>
      </w:r>
      <w:r>
        <w:t xml:space="preserve">Chinn and Meredith (2004)</w:t>
      </w:r>
      <w:r>
        <w:t xml:space="preserve"> </w:t>
      </w:r>
      <w:r>
        <w:t xml:space="preserve">showed that UIP works</w:t>
      </w:r>
      <w:r>
        <w:t xml:space="preserve"> </w:t>
      </w:r>
      <w:r>
        <w:t xml:space="preserve">much better over long horizons, which is why I focus on a long-run model instead</w:t>
      </w:r>
      <w:r>
        <w:t xml:space="preserve"> </w:t>
      </w:r>
      <w:r>
        <w:t xml:space="preserve">of a short-run one.</w:t>
      </w:r>
    </w:p>
    <w:p>
      <w:pPr>
        <w:pStyle w:val="BodyText"/>
      </w:pPr>
      <w:r>
        <w:rPr>
          <w:b/>
          <w:bCs/>
        </w:rPr>
        <w:t xml:space="preserve">Interest rates and exchange rates in the long run.</w:t>
      </w:r>
      <w:r>
        <w:t xml:space="preserve"> </w:t>
      </w:r>
      <w:r>
        <w:t xml:space="preserve">MacDonald and Nagayasu (2000)</w:t>
      </w:r>
      <w:r>
        <w:t xml:space="preserve"> </w:t>
      </w:r>
      <w:r>
        <w:t xml:space="preserve">found a</w:t>
      </w:r>
      <w:r>
        <w:t xml:space="preserve"> </w:t>
      </w:r>
      <w:r>
        <w:t xml:space="preserve">long-run link between real exchange rates and real interest rate gaps for the G7</w:t>
      </w:r>
      <w:r>
        <w:t xml:space="preserve"> </w:t>
      </w:r>
      <w:r>
        <w:t xml:space="preserve">countries. This supports the idea of treating the interest rate gap as a long-run</w:t>
      </w:r>
      <w:r>
        <w:t xml:space="preserve"> </w:t>
      </w:r>
      <w:r>
        <w:t xml:space="preserve">driver of the exchange rate.</w:t>
      </w:r>
    </w:p>
    <w:p>
      <w:pPr>
        <w:pStyle w:val="BodyText"/>
      </w:pPr>
      <w:r>
        <w:rPr>
          <w:b/>
          <w:bCs/>
        </w:rPr>
        <w:t xml:space="preserve">Emerging markets.</w:t>
      </w:r>
      <w:r>
        <w:t xml:space="preserve"> </w:t>
      </w:r>
      <w:r>
        <w:t xml:space="preserve">Things can look different for emerging markets.</w:t>
      </w:r>
      <w:r>
        <w:t xml:space="preserve"> </w:t>
      </w:r>
      <w:r>
        <w:t xml:space="preserve">Frankel and Poonawala (2010)</w:t>
      </w:r>
      <w:r>
        <w:t xml:space="preserve"> </w:t>
      </w:r>
      <w:r>
        <w:t xml:space="preserve">found that the forward bias is actually smaller for emerging-market</w:t>
      </w:r>
      <w:r>
        <w:t xml:space="preserve"> </w:t>
      </w:r>
      <w:r>
        <w:t xml:space="preserve">currencies than for big currencies. This is useful background when I read my</w:t>
      </w:r>
      <w:r>
        <w:t xml:space="preserve"> </w:t>
      </w:r>
      <w:r>
        <w:t xml:space="preserve">results for the zloty.</w:t>
      </w:r>
    </w:p>
    <w:p>
      <w:pPr>
        <w:pStyle w:val="BodyText"/>
      </w:pPr>
      <w:r>
        <w:rPr>
          <w:b/>
          <w:bCs/>
        </w:rPr>
        <w:t xml:space="preserve">Methods I rely on.</w:t>
      </w:r>
      <w:r>
        <w:t xml:space="preserve"> </w:t>
      </w:r>
      <w:r>
        <w:t xml:space="preserve">For the methods I follow the standard time-series toolkit:</w:t>
      </w:r>
      <w:r>
        <w:t xml:space="preserve"> </w:t>
      </w:r>
      <w:r>
        <w:t xml:space="preserve">unit-root tests</w:t>
      </w:r>
      <w:r>
        <w:t xml:space="preserve"> </w:t>
      </w:r>
      <w:r>
        <w:t xml:space="preserve">(Dickey and Fuller 1979; Kwiatkowski et al. 1992)</w:t>
      </w:r>
      <w:r>
        <w:t xml:space="preserve">, residual-based cointegration</w:t>
      </w:r>
      <w:r>
        <w:t xml:space="preserve"> </w:t>
      </w:r>
      <w:r>
        <w:t xml:space="preserve">tests</w:t>
      </w:r>
      <w:r>
        <w:t xml:space="preserve"> </w:t>
      </w:r>
      <w:r>
        <w:t xml:space="preserve">(Engle and Granger 1987; Phillips and Ouliaris 1990)</w:t>
      </w:r>
      <w:r>
        <w:t xml:space="preserve">, the Johansen</w:t>
      </w:r>
      <w:r>
        <w:t xml:space="preserve"> </w:t>
      </w:r>
      <w:r>
        <w:t xml:space="preserve">(1988)</w:t>
      </w:r>
      <w:r>
        <w:t xml:space="preserve"> </w:t>
      </w:r>
      <w:r>
        <w:t xml:space="preserve">system test, and</w:t>
      </w:r>
      <w:r>
        <w:t xml:space="preserve"> </w:t>
      </w:r>
      <w:r>
        <w:t xml:space="preserve">the ARDL bounds test by</w:t>
      </w:r>
      <w:r>
        <w:t xml:space="preserve"> </w:t>
      </w:r>
      <w:r>
        <w:t xml:space="preserve">Pesaran et al. (2001)</w:t>
      </w:r>
      <w:r>
        <w:t xml:space="preserve">. I lean on the ARDL test because it still</w:t>
      </w:r>
      <w:r>
        <w:t xml:space="preserve"> </w:t>
      </w:r>
      <w:r>
        <w:t xml:space="preserve">works when some variables are stationary and others are not — which is likely</w:t>
      </w:r>
      <w:r>
        <w:t xml:space="preserve"> </w:t>
      </w:r>
      <w:r>
        <w:t xml:space="preserve">here, since interest rate gaps are often close to the border between the two.</w:t>
      </w:r>
    </w:p>
    <w:bookmarkEnd w:id="11"/>
    <w:bookmarkStart w:id="15" w:name="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Data</w:t>
      </w:r>
    </w:p>
    <w:p>
      <w:pPr>
        <w:pStyle w:val="TableCaption"/>
      </w:pPr>
      <w:r>
        <w:t xml:space="preserve">Sample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ample coverag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</w:t>
            </w:r>
          </w:p>
        </w:tc>
      </w:tr>
    </w:tbl>
    <w:p>
      <w:pPr>
        <w:pStyle w:val="BodyText"/>
      </w:pPr>
      <w:r>
        <w:t xml:space="preserve">I use monthly data. The variables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EUR/PLN</w:t>
      </w:r>
      <w:r>
        <w:t xml:space="preserve"> </w:t>
      </w:r>
      <w:r>
        <w:t xml:space="preserve">— the NBP Table A exchange rate, taken at the end of each month.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NBP reference rate</w:t>
      </w:r>
      <w:r>
        <w:t xml:space="preserve"> </w:t>
      </w:r>
      <w:r>
        <w:t xml:space="preserve">— Poland’s main policy rate, set to the value in force at</w:t>
      </w:r>
      <w:r>
        <w:t xml:space="preserve"> </w:t>
      </w:r>
      <w:r>
        <w:t xml:space="preserve">month-end.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ECB main refinancing rate (MRR)</w:t>
      </w:r>
      <w:r>
        <w:t xml:space="preserve"> </w:t>
      </w:r>
      <w:r>
        <w:t xml:space="preserve">— the euro-area policy 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Interest rate gap</w:t>
      </w:r>
      <w:r>
        <w:t xml:space="preserve"> </w:t>
      </w:r>
      <w:r>
        <w:t xml:space="preserve">— NBP rate minus ECB rate, in percentage points.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Brent oil (control)</w:t>
      </w:r>
      <w:r>
        <w:t xml:space="preserve"> </w:t>
      </w:r>
      <w:r>
        <w:t xml:space="preserve">— monthly oil price in USD (in logs). Poland imports</w:t>
      </w:r>
      <w:r>
        <w:t xml:space="preserve"> </w:t>
      </w:r>
      <w:r>
        <w:t xml:space="preserve">oil, so the oil price can affect the zloty through trade.</w:t>
      </w:r>
    </w:p>
    <w:p>
      <w:pPr>
        <w:pStyle w:val="TableCaption"/>
      </w:pPr>
      <w:r>
        <w:t xml:space="preserve">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criptive statistic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122.88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ecb_rate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eurpln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nbp_rate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</w:tr>
    </w:tbl>
    <w:p>
      <w:pPr>
        <w:pStyle w:val="CaptionedFigure"/>
      </w:pPr>
      <w:r>
        <w:drawing>
          <wp:inline>
            <wp:extent cx="5334000" cy="4148666"/>
            <wp:effectExtent b="0" l="0" r="0" t="0"/>
            <wp:docPr descr="EUR/PLN exchange rate and the NBP–ECB interest rate gap." title="" id="13" name="Picture"/>
            <a:graphic>
              <a:graphicData uri="http://schemas.openxmlformats.org/drawingml/2006/picture">
                <pic:pic>
                  <pic:nvPicPr>
                    <pic:cNvPr descr="output//fig1_serie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EUR/PLN exchange rate and the NBP–ECB interest rate gap.</w:t>
      </w:r>
    </w:p>
    <w:bookmarkEnd w:id="15"/>
    <w:bookmarkStart w:id="16" w:name="methodology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Methodology</w:t>
      </w:r>
    </w:p>
    <w:p>
      <w:pPr>
        <w:pStyle w:val="FirstParagraph"/>
      </w:pPr>
      <w:r>
        <w:t xml:space="preserve">I work in four steps.</w:t>
      </w:r>
    </w:p>
    <w:p>
      <w:pPr>
        <w:pStyle w:val="BodyText"/>
      </w:pPr>
      <w:r>
        <w:rPr>
          <w:b/>
          <w:bCs/>
        </w:rPr>
        <w:t xml:space="preserve">Step 1 — Check for unit roots.</w:t>
      </w:r>
      <w:r>
        <w:t xml:space="preserve"> </w:t>
      </w:r>
      <w:r>
        <w:t xml:space="preserve">First I test if each series is stationary.</w:t>
      </w:r>
      <w:r>
        <w:t xml:space="preserve"> </w:t>
      </w:r>
      <w:r>
        <w:t xml:space="preserve">I use two tests together: the ADF test</w:t>
      </w:r>
      <w:r>
        <w:t xml:space="preserve"> </w:t>
      </w:r>
      <w:r>
        <w:t xml:space="preserve">(Dickey and Fuller 1979)</w:t>
      </w:r>
      <w:r>
        <w:t xml:space="preserve">, where the null is a unit</w:t>
      </w:r>
      <w:r>
        <w:t xml:space="preserve"> </w:t>
      </w:r>
      <w:r>
        <w:t xml:space="preserve">root (non-stationary), and the KPSS test</w:t>
      </w:r>
      <w:r>
        <w:t xml:space="preserve"> </w:t>
      </w:r>
      <w:r>
        <w:t xml:space="preserve">(Kwiatkowski et al. 1992)</w:t>
      </w:r>
      <w:r>
        <w:t xml:space="preserve">, where the null is</w:t>
      </w:r>
      <w:r>
        <w:t xml:space="preserve"> </w:t>
      </w:r>
      <w:r>
        <w:t xml:space="preserve">stationary. Using both is safer. I call a series I(1) only if it looks</w:t>
      </w:r>
      <w:r>
        <w:t xml:space="preserve"> </w:t>
      </w:r>
      <w:r>
        <w:t xml:space="preserve">non-stationary in levels but stationary after taking first differences.</w:t>
      </w:r>
    </w:p>
    <w:p>
      <w:pPr>
        <w:pStyle w:val="BodyText"/>
      </w:pPr>
      <w:r>
        <w:rPr>
          <w:b/>
          <w:bCs/>
        </w:rPr>
        <w:t xml:space="preserve">Step 2 — Test for cointegration.</w:t>
      </w:r>
      <w:r>
        <w:t xml:space="preserve"> </w:t>
      </w:r>
      <w:r>
        <w:t xml:space="preserve">If the variables are I(1), I check if they</w:t>
      </w:r>
      <w:r>
        <w:t xml:space="preserve"> </w:t>
      </w:r>
      <w:r>
        <w:t xml:space="preserve">move together in the long run. I use the Phillips–Ouliaris test</w:t>
      </w:r>
      <w:r>
        <w:t xml:space="preserve"> </w:t>
      </w:r>
      <w:r>
        <w:t xml:space="preserve">(Phillips and Ouliaris 1990)</w:t>
      </w:r>
      <w:r>
        <w:t xml:space="preserve">,</w:t>
      </w:r>
      <w:r>
        <w:t xml:space="preserve"> </w:t>
      </w:r>
      <w:r>
        <w:t xml:space="preserve">which is the Engle–Granger</w:t>
      </w:r>
      <w:r>
        <w:t xml:space="preserve"> </w:t>
      </w:r>
      <w:r>
        <w:t xml:space="preserve">(1987)</w:t>
      </w:r>
      <w:r>
        <w:t xml:space="preserve"> </w:t>
      </w:r>
      <w:r>
        <w:t xml:space="preserve">idea with the right critical values, and</w:t>
      </w:r>
      <w:r>
        <w:t xml:space="preserve"> </w:t>
      </w:r>
      <w:r>
        <w:t xml:space="preserve">the Johansen</w:t>
      </w:r>
      <w:r>
        <w:t xml:space="preserve"> </w:t>
      </w:r>
      <w:r>
        <w:t xml:space="preserve">(1988)</w:t>
      </w:r>
      <w:r>
        <w:t xml:space="preserve"> </w:t>
      </w:r>
      <w:r>
        <w:t xml:space="preserve">test, which finds how many long-run links exist.</w:t>
      </w:r>
    </w:p>
    <w:p>
      <w:pPr>
        <w:pStyle w:val="BodyText"/>
      </w:pPr>
      <w:r>
        <w:rPr>
          <w:b/>
          <w:bCs/>
        </w:rPr>
        <w:t xml:space="preserve">Step 3 — ARDL bounds test.</w:t>
      </w:r>
      <w:r>
        <w:t xml:space="preserve"> </w:t>
      </w:r>
      <w:r>
        <w:t xml:space="preserve">The interest rate gap might be stationary, not</w:t>
      </w:r>
      <w:r>
        <w:t xml:space="preserve"> </w:t>
      </w:r>
      <w:r>
        <w:t xml:space="preserve">I(1). To be safe I use the ARDL bounds test</w:t>
      </w:r>
      <w:r>
        <w:t xml:space="preserve"> </w:t>
      </w:r>
      <w:r>
        <w:t xml:space="preserve">(Pesaran et al. 2001)</w:t>
      </w:r>
      <w:r>
        <w:t xml:space="preserve"> </w:t>
      </w:r>
      <w:r>
        <w:t xml:space="preserve">as my main model. It</w:t>
      </w:r>
      <w:r>
        <w:t xml:space="preserve"> </w:t>
      </w:r>
      <w:r>
        <w:t xml:space="preserve">works with any mix of stationary and non-stationary variables. It gives me the</w:t>
      </w:r>
      <w:r>
        <w:t xml:space="preserve"> </w:t>
      </w:r>
      <w:r>
        <w:t xml:space="preserve">long-run effect and an error-correction model (ECM), which shows how fast the</w:t>
      </w:r>
      <w:r>
        <w:t xml:space="preserve"> </w:t>
      </w:r>
      <w:r>
        <w:t xml:space="preserve">rate returns to its long-run level after a shock. I pick the lag lengths with the</w:t>
      </w:r>
      <w:r>
        <w:t xml:space="preserve"> </w:t>
      </w:r>
      <w:r>
        <w:t xml:space="preserve">AIC.</w:t>
      </w:r>
    </w:p>
    <w:p>
      <w:pPr>
        <w:pStyle w:val="BodyText"/>
      </w:pPr>
      <w:r>
        <w:rPr>
          <w:b/>
          <w:bCs/>
        </w:rPr>
        <w:t xml:space="preserve">Step 4 — ARIMA benchmark.</w:t>
      </w:r>
      <w:r>
        <w:t xml:space="preserve"> </w:t>
      </w:r>
      <w:r>
        <w:t xml:space="preserve">I also fit a simple ARIMA model on the exchange</w:t>
      </w:r>
      <w:r>
        <w:t xml:space="preserve"> </w:t>
      </w:r>
      <w:r>
        <w:t xml:space="preserve">rate alone, keeping the last 12 months aside to test forecasts. This tells me if</w:t>
      </w:r>
      <w:r>
        <w:t xml:space="preserve"> </w:t>
      </w:r>
      <w:r>
        <w:t xml:space="preserve">the interest rate information actually helps, compared to a model that only uses</w:t>
      </w:r>
      <w:r>
        <w:t xml:space="preserve"> </w:t>
      </w:r>
      <w:r>
        <w:t xml:space="preserve">the past of the exchange rate</w:t>
      </w:r>
      <w:r>
        <w:t xml:space="preserve"> </w:t>
      </w:r>
      <w:r>
        <w:t xml:space="preserve">(Meese and Rogoff 1983)</w:t>
      </w:r>
      <w:r>
        <w:t xml:space="preserve">.</w:t>
      </w:r>
    </w:p>
    <w:p>
      <w:pPr>
        <w:pStyle w:val="BodyText"/>
      </w:pPr>
      <w:r>
        <w:t xml:space="preserve">I finish with checks on the model: tests for leftover correlation in the errors</w:t>
      </w:r>
      <w:r>
        <w:t xml:space="preserve"> </w:t>
      </w:r>
      <w:r>
        <w:t xml:space="preserve">(Breusch–Godfrey), changing variance (Breusch–Pagan), normal errors</w:t>
      </w:r>
      <w:r>
        <w:t xml:space="preserve"> </w:t>
      </w:r>
      <w:r>
        <w:t xml:space="preserve">(Jarque–Bera), and wrong functional form (Ramsey RESET). I also run a</w:t>
      </w:r>
      <w:r>
        <w:t xml:space="preserve"> </w:t>
      </w:r>
      <w:r>
        <w:t xml:space="preserve">Zivot–Andrews test that allows one break in the data, and a CUSUM test for</w:t>
      </w:r>
      <w:r>
        <w:t xml:space="preserve"> </w:t>
      </w:r>
      <w:r>
        <w:t xml:space="preserve">stability over time.</w:t>
      </w:r>
    </w:p>
    <w:bookmarkEnd w:id="16"/>
    <w:bookmarkStart w:id="31" w:name="result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Results</w:t>
      </w:r>
    </w:p>
    <w:bookmarkStart w:id="17" w:name="unit-root-test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Unit-root tests</w:t>
      </w:r>
    </w:p>
    <w:p>
      <w:pPr>
        <w:pStyle w:val="TableCaption"/>
      </w:pPr>
      <w:r>
        <w:t xml:space="preserve">Order of integration (from ADF + KPSS).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der of integration (from ADF + KPS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ln_eurpln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rate_diff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ln_brent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I(1)</w:t>
            </w:r>
          </w:p>
        </w:tc>
      </w:tr>
    </w:tbl>
    <w:p>
      <w:pPr>
        <w:pStyle w:val="BodyText"/>
      </w:pPr>
      <w:r>
        <w:t xml:space="preserve">[Say which series are I(1). Most importantly, say if the interest rate gap is</w:t>
      </w:r>
      <w:r>
        <w:t xml:space="preserve"> </w:t>
      </w:r>
      <w:r>
        <w:t xml:space="preserve">stationary or not, because this decides whether normal cointegration is allowed</w:t>
      </w:r>
      <w:r>
        <w:t xml:space="preserve"> </w:t>
      </w:r>
      <w:r>
        <w:t xml:space="preserve">or whether only the ARDL bounds test is valid.]</w:t>
      </w:r>
    </w:p>
    <w:bookmarkEnd w:id="17"/>
    <w:bookmarkStart w:id="18" w:name="cointegration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Cointegration</w:t>
      </w:r>
    </w:p>
    <w:p>
      <w:pPr>
        <w:pStyle w:val="SourceCode"/>
      </w:pPr>
      <w:r>
        <w:rPr>
          <w:rStyle w:val="VerbatimChar"/>
        </w:rPr>
        <w:t xml:space="preserve">## Phillips–Ouliaris statistic: -12.322 | p-value: 0.15</w:t>
      </w:r>
    </w:p>
    <w:p>
      <w:pPr>
        <w:pStyle w:val="FirstParagraph"/>
      </w:pPr>
      <w:r>
        <w:t xml:space="preserve">[Report the Johansen result from the console and say how many long-run links</w:t>
      </w:r>
      <w:r>
        <w:t xml:space="preserve"> </w:t>
      </w:r>
      <w:r>
        <w:t xml:space="preserve">there are. Compare it with the bounds test below.]</w:t>
      </w:r>
    </w:p>
    <w:bookmarkEnd w:id="18"/>
    <w:bookmarkStart w:id="22" w:name="ardl-bounds-test-and-error-correction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ARDL bounds test and error correction</w:t>
      </w:r>
    </w:p>
    <w:p>
      <w:pPr>
        <w:pStyle w:val="SourceCode"/>
      </w:pPr>
      <w:r>
        <w:rPr>
          <w:rStyle w:val="VerbatimChar"/>
        </w:rPr>
        <w:t xml:space="preserve">## ARDL bounds F-statistic: 1.905 </w:t>
      </w:r>
      <w:r>
        <w:br/>
      </w:r>
      <w:r>
        <w:rPr>
          <w:rStyle w:val="VerbatimChar"/>
        </w:rPr>
        <w:t xml:space="preserve">## (Compare with the Pesaran et al. 2001 bounds for case 3.)</w:t>
      </w:r>
    </w:p>
    <w:p>
      <w:pPr>
        <w:pStyle w:val="FirstParagraph"/>
      </w:pPr>
      <w:r>
        <w:t xml:space="preserve">[Report the long-run effect of the interest rate gap and the speed-of-adjustment</w:t>
      </w:r>
      <w:r>
        <w:t xml:space="preserve"> </w:t>
      </w:r>
      <w:r>
        <w:t xml:space="preserve">(ECM) term. A negative and significant ECM term means the rate does return to its</w:t>
      </w:r>
      <w:r>
        <w:t xml:space="preserve"> </w:t>
      </w:r>
      <w:r>
        <w:t xml:space="preserve">long-run level; its size tells me how much of the gap closes each month.]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ARDL model: actual vs fitted log EUR/PLN." title="" id="20" name="Picture"/>
            <a:graphic>
              <a:graphicData uri="http://schemas.openxmlformats.org/drawingml/2006/picture">
                <pic:pic>
                  <pic:nvPicPr>
                    <pic:cNvPr descr="output//fig5_ardl_fi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ARDL model: actual vs fitted log EUR/PLN.</w:t>
      </w:r>
    </w:p>
    <w:bookmarkEnd w:id="22"/>
    <w:bookmarkStart w:id="26" w:name="arima-benchmark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ARIMA benchmark</w:t>
      </w:r>
    </w:p>
    <w:p>
      <w:pPr>
        <w:pStyle w:val="TableCaption"/>
      </w:pPr>
      <w:r>
        <w:t xml:space="preserve">ARIMA forecast accuracy (last 12 months).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IMA forecast accuracy (last 12 months)."/>
      </w:tblPr>
      <w:tblGrid>
        <w:gridCol w:w="1391"/>
        <w:gridCol w:w="749"/>
        <w:gridCol w:w="749"/>
        <w:gridCol w:w="749"/>
        <w:gridCol w:w="856"/>
        <w:gridCol w:w="749"/>
        <w:gridCol w:w="749"/>
        <w:gridCol w:w="856"/>
        <w:gridCol w:w="10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Theil’s 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0.9724</w:t>
            </w:r>
          </w:p>
        </w:tc>
      </w:tr>
    </w:tbl>
    <w:p>
      <w:pPr>
        <w:pStyle w:val="CaptionedFigure"/>
      </w:pPr>
      <w:r>
        <w:drawing>
          <wp:inline>
            <wp:extent cx="5334000" cy="2963333"/>
            <wp:effectExtent b="0" l="0" r="0" t="0"/>
            <wp:docPr descr="ARIMA forecast vs real values." title="" id="24" name="Picture"/>
            <a:graphic>
              <a:graphicData uri="http://schemas.openxmlformats.org/drawingml/2006/picture">
                <pic:pic>
                  <pic:nvPicPr>
                    <pic:cNvPr descr="output//fig6_arima_forecas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ARIMA forecast vs real values.</w:t>
      </w:r>
    </w:p>
    <w:bookmarkEnd w:id="26"/>
    <w:bookmarkStart w:id="30" w:name="diagnostics-and-stability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Diagnostics and stability</w:t>
      </w:r>
    </w:p>
    <w:p>
      <w:pPr>
        <w:pStyle w:val="FirstParagraph"/>
      </w:pPr>
      <w:r>
        <w:t xml:space="preserve">[Summarise the checks (Breusch–Godfrey, Breusch–Pagan, Jarque–Bera, RESET), the</w:t>
      </w:r>
      <w:r>
        <w:t xml:space="preserve"> </w:t>
      </w:r>
      <w:r>
        <w:t xml:space="preserve">break date from the Zivot–Andrews test, and the CUSUM plot. Say if the 2022–2023</w:t>
      </w:r>
      <w:r>
        <w:t xml:space="preserve"> </w:t>
      </w:r>
      <w:r>
        <w:t xml:space="preserve">rate-hike period shows up as a break.]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CUSUM stability test." title="" id="28" name="Picture"/>
            <a:graphic>
              <a:graphicData uri="http://schemas.openxmlformats.org/drawingml/2006/picture">
                <pic:pic>
                  <pic:nvPicPr>
                    <pic:cNvPr descr="output//fig7_cusum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CUSUM stability test.</w:t>
      </w:r>
    </w:p>
    <w:bookmarkEnd w:id="30"/>
    <w:bookmarkEnd w:id="31"/>
    <w:bookmarkStart w:id="32" w:name="conclu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</w:t>
      </w:r>
    </w:p>
    <w:p>
      <w:pPr>
        <w:pStyle w:val="FirstParagraph"/>
      </w:pPr>
      <w:r>
        <w:t xml:space="preserve">[State the main finding in one or two sentences: whether the EUR/PLN rate and the</w:t>
      </w:r>
      <w:r>
        <w:t xml:space="preserve"> </w:t>
      </w:r>
      <w:r>
        <w:t xml:space="preserve">interest rate gap have a long-run link, the direction of the effect, and how fast</w:t>
      </w:r>
      <w:r>
        <w:t xml:space="preserve"> </w:t>
      </w:r>
      <w:r>
        <w:t xml:space="preserve">the rate adjusts. Then mention the limits of the study — I use nominal rates, I do</w:t>
      </w:r>
      <w:r>
        <w:t xml:space="preserve"> </w:t>
      </w:r>
      <w:r>
        <w:t xml:space="preserve">not model the risk premium, and I allow only one break — and suggest next steps,</w:t>
      </w:r>
      <w:r>
        <w:t xml:space="preserve"> </w:t>
      </w:r>
      <w:r>
        <w:t xml:space="preserve">such as a nonlinear ARDL or adding a risk measure like the VIX.]</w:t>
      </w:r>
    </w:p>
    <w:bookmarkEnd w:id="32"/>
    <w:bookmarkStart w:id="45" w:name="references"/>
    <w:p>
      <w:pPr>
        <w:pStyle w:val="Heading1"/>
      </w:pPr>
      <w:r>
        <w:t xml:space="preserve">References</w:t>
      </w:r>
    </w:p>
    <w:bookmarkStart w:id="44" w:name="refs"/>
    <w:bookmarkStart w:id="33" w:name="ref-chinn2004"/>
    <w:p>
      <w:pPr>
        <w:pStyle w:val="Bibliography"/>
      </w:pPr>
      <w:r>
        <w:t xml:space="preserve">Chinn, Menzie D., and Guy Meredith. 2004.</w:t>
      </w:r>
      <w:r>
        <w:t xml:space="preserve"> </w:t>
      </w:r>
      <w:r>
        <w:t xml:space="preserve">“Monetary Policy and Long-Horizon Uncovered Interest Parity.”</w:t>
      </w:r>
      <w:r>
        <w:t xml:space="preserve"> </w:t>
      </w:r>
      <w:r>
        <w:rPr>
          <w:i/>
          <w:iCs/>
        </w:rPr>
        <w:t xml:space="preserve">IMF Staff Papers</w:t>
      </w:r>
      <w:r>
        <w:t xml:space="preserve"> </w:t>
      </w:r>
      <w:r>
        <w:t xml:space="preserve">51 (3): 409–30.</w:t>
      </w:r>
    </w:p>
    <w:bookmarkEnd w:id="33"/>
    <w:bookmarkStart w:id="34" w:name="ref-dickey1979"/>
    <w:p>
      <w:pPr>
        <w:pStyle w:val="Bibliography"/>
      </w:pPr>
      <w:r>
        <w:t xml:space="preserve">Dickey, David A., and Wayne A. Fuller. 1979.</w:t>
      </w:r>
      <w:r>
        <w:t xml:space="preserve"> </w:t>
      </w:r>
      <w:r>
        <w:t xml:space="preserve">“Distribution of the Estimators for Autoregressive Time Series with a Unit Root.”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74 (366): 427–31.</w:t>
      </w:r>
    </w:p>
    <w:bookmarkEnd w:id="34"/>
    <w:bookmarkStart w:id="35" w:name="ref-engle1987"/>
    <w:p>
      <w:pPr>
        <w:pStyle w:val="Bibliography"/>
      </w:pPr>
      <w:r>
        <w:t xml:space="preserve">Engle, Robert F., and Clive W. J. Granger. 1987.</w:t>
      </w:r>
      <w:r>
        <w:t xml:space="preserve"> </w:t>
      </w:r>
      <w:r>
        <w:t xml:space="preserve">“Co-Integration and Error Correction: Representation, Estimation, and Testing.”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 (2): 251–76.</w:t>
      </w:r>
    </w:p>
    <w:bookmarkEnd w:id="35"/>
    <w:bookmarkStart w:id="36" w:name="ref-fama1984"/>
    <w:p>
      <w:pPr>
        <w:pStyle w:val="Bibliography"/>
      </w:pPr>
      <w:r>
        <w:t xml:space="preserve">Fama, Eugene F. 1984.</w:t>
      </w:r>
      <w:r>
        <w:t xml:space="preserve"> </w:t>
      </w:r>
      <w:r>
        <w:t xml:space="preserve">“Forward and Spot Exchange Rates.”</w:t>
      </w:r>
      <w:r>
        <w:t xml:space="preserve"> </w:t>
      </w:r>
      <w:r>
        <w:rPr>
          <w:i/>
          <w:iCs/>
        </w:rPr>
        <w:t xml:space="preserve">Journal of Monetary Economics</w:t>
      </w:r>
      <w:r>
        <w:t xml:space="preserve"> </w:t>
      </w:r>
      <w:r>
        <w:t xml:space="preserve">14 (3): 319–38.</w:t>
      </w:r>
    </w:p>
    <w:bookmarkEnd w:id="36"/>
    <w:bookmarkStart w:id="37" w:name="ref-frankel2010"/>
    <w:p>
      <w:pPr>
        <w:pStyle w:val="Bibliography"/>
      </w:pPr>
      <w:r>
        <w:t xml:space="preserve">Frankel, Jeffrey, and Jumana Poonawala. 2010.</w:t>
      </w:r>
      <w:r>
        <w:t xml:space="preserve"> </w:t>
      </w:r>
      <w:r>
        <w:t xml:space="preserve">“The Forward Market in Emerging Currencies: Less Biased Than in Major Currencies.”</w:t>
      </w:r>
      <w:r>
        <w:t xml:space="preserve"> </w:t>
      </w:r>
      <w:r>
        <w:rPr>
          <w:i/>
          <w:iCs/>
        </w:rPr>
        <w:t xml:space="preserve">Journal of International Money and Finance</w:t>
      </w:r>
      <w:r>
        <w:t xml:space="preserve"> </w:t>
      </w:r>
      <w:r>
        <w:t xml:space="preserve">29 (3): 585–98.</w:t>
      </w:r>
    </w:p>
    <w:bookmarkEnd w:id="37"/>
    <w:bookmarkStart w:id="38" w:name="ref-johansen1988"/>
    <w:p>
      <w:pPr>
        <w:pStyle w:val="Bibliography"/>
      </w:pPr>
      <w:r>
        <w:t xml:space="preserve">Johansen, Søren. 1988.</w:t>
      </w:r>
      <w:r>
        <w:t xml:space="preserve"> </w:t>
      </w:r>
      <w:r>
        <w:t xml:space="preserve">“Statistical Analysis of Cointegration Vectors.”</w:t>
      </w:r>
      <w:r>
        <w:t xml:space="preserve"> </w:t>
      </w:r>
      <w:r>
        <w:rPr>
          <w:i/>
          <w:iCs/>
        </w:rPr>
        <w:t xml:space="preserve">Journal of Economic Dynamics and Control</w:t>
      </w:r>
      <w:r>
        <w:t xml:space="preserve"> </w:t>
      </w:r>
      <w:r>
        <w:t xml:space="preserve">12 (2–3): 231–54.</w:t>
      </w:r>
    </w:p>
    <w:bookmarkEnd w:id="38"/>
    <w:bookmarkStart w:id="39" w:name="ref-kwiatkowski1992"/>
    <w:p>
      <w:pPr>
        <w:pStyle w:val="Bibliography"/>
      </w:pPr>
      <w:r>
        <w:t xml:space="preserve">Kwiatkowski, Denis, Peter C. B. Phillips, Peter Schmidt, and Yongcheol Shin. 1992.</w:t>
      </w:r>
      <w:r>
        <w:t xml:space="preserve"> </w:t>
      </w:r>
      <w:r>
        <w:t xml:space="preserve">“Testing the Null Hypothesis of Stationarity Against the Alternative of a Unit Root.”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54 (1–3): 159–78.</w:t>
      </w:r>
    </w:p>
    <w:bookmarkEnd w:id="39"/>
    <w:bookmarkStart w:id="40" w:name="ref-macdonald2000"/>
    <w:p>
      <w:pPr>
        <w:pStyle w:val="Bibliography"/>
      </w:pPr>
      <w:r>
        <w:t xml:space="preserve">MacDonald, Ronald, and Jun Nagayasu. 2000.</w:t>
      </w:r>
      <w:r>
        <w:t xml:space="preserve"> </w:t>
      </w:r>
      <w:r>
        <w:t xml:space="preserve">“The Long-Run Relationship Between Real Exchange Rates and Real Interest Rate Differentials.”</w:t>
      </w:r>
      <w:r>
        <w:t xml:space="preserve"> </w:t>
      </w:r>
      <w:r>
        <w:rPr>
          <w:i/>
          <w:iCs/>
        </w:rPr>
        <w:t xml:space="preserve">IMF Staff Papers</w:t>
      </w:r>
      <w:r>
        <w:t xml:space="preserve"> </w:t>
      </w:r>
      <w:r>
        <w:t xml:space="preserve">47 (1): 116–28.</w:t>
      </w:r>
    </w:p>
    <w:bookmarkEnd w:id="40"/>
    <w:bookmarkStart w:id="41" w:name="ref-meese1983"/>
    <w:p>
      <w:pPr>
        <w:pStyle w:val="Bibliography"/>
      </w:pPr>
      <w:r>
        <w:t xml:space="preserve">Meese, Richard A., and Kenneth Rogoff. 1983.</w:t>
      </w:r>
      <w:r>
        <w:t xml:space="preserve"> </w:t>
      </w:r>
      <w:r>
        <w:t xml:space="preserve">“Empirical Exchange Rate Models of the Seventies: Do They Fit Out of Sample?”</w:t>
      </w:r>
      <w:r>
        <w:t xml:space="preserve"> </w:t>
      </w:r>
      <w:r>
        <w:rPr>
          <w:i/>
          <w:iCs/>
        </w:rPr>
        <w:t xml:space="preserve">Journal of International Economics</w:t>
      </w:r>
      <w:r>
        <w:t xml:space="preserve"> </w:t>
      </w:r>
      <w:r>
        <w:t xml:space="preserve">14 (1–2): 3–24.</w:t>
      </w:r>
    </w:p>
    <w:bookmarkEnd w:id="41"/>
    <w:bookmarkStart w:id="42" w:name="ref-pesaran2001"/>
    <w:p>
      <w:pPr>
        <w:pStyle w:val="Bibliography"/>
      </w:pPr>
      <w:r>
        <w:t xml:space="preserve">Pesaran, M. Hashem, Yongcheol Shin, and Richard J. Smith. 2001.</w:t>
      </w:r>
      <w:r>
        <w:t xml:space="preserve"> </w:t>
      </w:r>
      <w:r>
        <w:t xml:space="preserve">“Bounds Testing Approaches to the Analysis of Level Relationships.”</w:t>
      </w:r>
      <w:r>
        <w:t xml:space="preserve"> </w:t>
      </w:r>
      <w:r>
        <w:rPr>
          <w:i/>
          <w:iCs/>
        </w:rPr>
        <w:t xml:space="preserve">Journal of Applied Econometrics</w:t>
      </w:r>
      <w:r>
        <w:t xml:space="preserve"> </w:t>
      </w:r>
      <w:r>
        <w:t xml:space="preserve">16 (3): 289–326.</w:t>
      </w:r>
    </w:p>
    <w:bookmarkEnd w:id="42"/>
    <w:bookmarkStart w:id="43" w:name="ref-phillips1990"/>
    <w:p>
      <w:pPr>
        <w:pStyle w:val="Bibliography"/>
      </w:pPr>
      <w:r>
        <w:t xml:space="preserve">Phillips, Peter C. B., and Sam Ouliaris. 1990.</w:t>
      </w:r>
      <w:r>
        <w:t xml:space="preserve"> </w:t>
      </w:r>
      <w:r>
        <w:t xml:space="preserve">“Asymptotic Properties of Residual Based Tests for Cointegration.”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58 (1): 165–93.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Drives the EUR/PLN Exchange Rate? Interest Rates, Cointegration and an ARDL Model</dc:title>
  <dc:creator>Ondřej Marvan (student ID 477001)</dc:creator>
  <cp:keywords/>
  <dcterms:created xsi:type="dcterms:W3CDTF">2026-06-02T09:52:50Z</dcterms:created>
  <dcterms:modified xsi:type="dcterms:W3CDTF">2026-06-02T09:52:50Z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date">
    <vt:lpwstr>02 June 2026</vt:lpwstr>
  </property>
  <property fmtid="{D5CDD505-2E9C-101B-9397-08002B2CF9AE}" pid="4" name="output">
    <vt:lpwstr/>
  </property>
</Properties>
</file>