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dvanced-econometrics-exam-solutions"/>
    <w:p>
      <w:pPr>
        <w:pStyle w:val="Heading1"/>
      </w:pPr>
      <w:r>
        <w:t xml:space="preserve">Advanced Econometrics — Exam Solutions</w:t>
      </w:r>
    </w:p>
    <w:p>
      <w:pPr>
        <w:pStyle w:val="FirstParagraph"/>
      </w:pPr>
      <w:r>
        <w:rPr>
          <w:bCs/>
          <w:b/>
        </w:rPr>
        <w:t xml:space="preserve">Paper:</w:t>
      </w:r>
      <w:r>
        <w:t xml:space="preserve"> </w:t>
      </w:r>
      <w:r>
        <w:t xml:space="preserve">September 5, 2019 (M. Chlebus / R. Woźniak)</w:t>
      </w:r>
      <w:r>
        <w:t xml:space="preserve"> </w:t>
      </w:r>
      <w:r>
        <w:rPr>
          <w:bCs/>
          <w:b/>
        </w:rPr>
        <w:t xml:space="preserve">Significance level: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throughout.</w:t>
      </w:r>
    </w:p>
    <w:p>
      <w:pPr>
        <w:pStyle w:val="BlockText"/>
      </w:pPr>
      <w:r>
        <w:t xml:space="preserve">Note: Exercises 1 and 3 reuse the same datasets as the 2018 September paper,</w:t>
      </w:r>
      <w:r>
        <w:t xml:space="preserve"> </w:t>
      </w:r>
      <w:r>
        <w:rPr>
          <w:bCs/>
          <w:b/>
        </w:rPr>
        <w:t xml:space="preserve">but Exercise 3 reports a different Hausman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-value (0.6665 vs 0.0065)</w:t>
      </w:r>
      <w:r>
        <w:t xml:space="preserve">, which reverses the model choice — read part (c) carefully.</w:t>
      </w:r>
    </w:p>
    <w:p>
      <w:r>
        <w:pict>
          <v:rect style="width:0;height:1.5pt" o:hralign="center" o:hrstd="t" o:hr="t"/>
        </w:pict>
      </w:r>
    </w:p>
    <w:bookmarkStart w:id="25" w:name="X70881071ba298fe7b94bca95c95a498f5e89801"/>
    <w:p>
      <w:pPr>
        <w:pStyle w:val="Heading2"/>
      </w:pPr>
      <w:r>
        <w:t xml:space="preserve">Exercise 1 (Cointegration &amp; ECM) — median age at first marriage, Female vs Male</w:t>
      </w:r>
    </w:p>
    <w:p>
      <w:pPr>
        <w:pStyle w:val="FirstParagraph"/>
      </w:pPr>
      <w:r>
        <w:t xml:space="preserve">We test for a long-run equilibrium between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Male</w:t>
      </w:r>
      <w:r>
        <w:t xml:space="preserve"> </w:t>
      </w:r>
      <w:r>
        <w:t xml:space="preserve">median marriage ages (1947–2010). For each</w:t>
      </w:r>
      <w:r>
        <w:t xml:space="preserve"> </w:t>
      </w:r>
      <w:r>
        <w:rPr>
          <w:rStyle w:val="VerbatimChar"/>
        </w:rPr>
        <w:t xml:space="preserve">testdf</w:t>
      </w:r>
      <w:r>
        <w:t xml:space="preserve"> </w:t>
      </w:r>
      <w:r>
        <w:t xml:space="preserve">block pick the</w:t>
      </w:r>
      <w:r>
        <w:t xml:space="preserve"> </w:t>
      </w:r>
      <w:r>
        <w:rPr>
          <w:bCs/>
          <w:b/>
        </w:rPr>
        <w:t xml:space="preserve">smallest augmentation where the Breusch–Godfrey tests are all clean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), then read the ADF there.</w:t>
      </w:r>
    </w:p>
    <w:bookmarkStart w:id="20" w:name="a-visual-rationale-for-cointegration"/>
    <w:p>
      <w:pPr>
        <w:pStyle w:val="Heading3"/>
      </w:pPr>
      <w:r>
        <w:t xml:space="preserve">a) Visual rationale for cointegration</w:t>
      </w:r>
    </w:p>
    <w:p>
      <w:pPr>
        <w:pStyle w:val="FirstParagraph"/>
      </w:pPr>
      <w:r>
        <w:t xml:space="preserve">From the figure, both series</w:t>
      </w:r>
      <w:r>
        <w:t xml:space="preserve"> </w:t>
      </w:r>
      <w:r>
        <w:rPr>
          <w:bCs/>
          <w:b/>
        </w:rPr>
        <w:t xml:space="preserve">trend upward together</w:t>
      </w:r>
      <w:r>
        <w:t xml:space="preserve"> </w:t>
      </w:r>
      <w:r>
        <w:t xml:space="preserve">over the sample and stay roughly parallel (a broadly constant gap), wandering without reverting to a fixed mean individually but moving together. That co-movement of two trending series is exactly the visual signature that motivates checking for cointegration —</w:t>
      </w:r>
      <w:r>
        <w:t xml:space="preserve"> </w:t>
      </w:r>
      <w:r>
        <w:rPr>
          <w:bCs/>
          <w:b/>
        </w:rPr>
        <w:t xml:space="preserve">yes, it is reasonable to consider it</w:t>
      </w:r>
      <w:r>
        <w:t xml:space="preserve">.</w:t>
      </w:r>
    </w:p>
    <w:bookmarkEnd w:id="20"/>
    <w:bookmarkStart w:id="21" w:name="X283fcbcbc7a2a342c1454612010bbb64d12dd53"/>
    <w:p>
      <w:pPr>
        <w:pStyle w:val="Heading3"/>
      </w:pPr>
      <w:r>
        <w:t xml:space="preserve">b) Do the series satisfy the basic precondition (same integration order)?</w:t>
      </w:r>
    </w:p>
    <w:p>
      <w:pPr>
        <w:pStyle w:val="FirstParagraph"/>
      </w:pPr>
      <w:r>
        <w:t xml:space="preserve">Cointegration requires both variables to be integrated of the</w:t>
      </w:r>
      <w:r>
        <w:t xml:space="preserve"> </w:t>
      </w:r>
      <w:r>
        <w:rPr>
          <w:bCs/>
          <w:b/>
        </w:rPr>
        <w:t xml:space="preserve">same order</w:t>
      </w:r>
      <w:r>
        <w:t xml:space="preserve"> </w:t>
      </w:r>
      <w:r>
        <w:t xml:space="preserve">(here,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). Clean-augmentation ADF results: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(level)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1.84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 root — non-stationary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8.45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(level)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1.33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 root — non-stationary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7.90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</w:tr>
    </w:tbl>
    <w:p>
      <w:pPr>
        <w:pStyle w:val="BodyText"/>
      </w:pPr>
      <w:r>
        <w:t xml:space="preserve">(All BG</w:t>
      </w:r>
      <w:r>
        <w:t xml:space="preserve"> </w:t>
      </w:r>
      <m:oMath>
        <m:r>
          <m:t>p</m:t>
        </m:r>
      </m:oMath>
      <w:r>
        <w:t xml:space="preserve">-values exceed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at augmentation 0 in each block, so no extra augmentation is needed.)</w:t>
      </w:r>
    </w:p>
    <w:p>
      <w:pPr>
        <w:pStyle w:val="BodyText"/>
      </w:pPr>
      <w:r>
        <w:t xml:space="preserve">Both series are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non-stationary in levels, stationary after one difference. The precondition is</w:t>
      </w:r>
      <w:r>
        <w:t xml:space="preserve"> </w:t>
      </w:r>
      <w:r>
        <w:rPr>
          <w:bCs/>
          <w:b/>
        </w:rPr>
        <w:t xml:space="preserve">satisfied</w:t>
      </w:r>
      <w:r>
        <w:t xml:space="preserve">.</w:t>
      </w:r>
    </w:p>
    <w:bookmarkEnd w:id="21"/>
    <w:bookmarkStart w:id="22" w:name="c-is-there-evidence-of-cointegration"/>
    <w:p>
      <w:pPr>
        <w:pStyle w:val="Heading3"/>
      </w:pPr>
      <w:r>
        <w:t xml:space="preserve">c) Is there evidence of cointegration?</w:t>
      </w:r>
    </w:p>
    <w:p>
      <w:pPr>
        <w:pStyle w:val="FirstParagraph"/>
      </w:pPr>
      <w:r>
        <w:t xml:space="preserve">Engle–Granger step 2: estimate the long-run regression</w:t>
      </w:r>
      <w:r>
        <w:t xml:space="preserve"> </w:t>
      </w:r>
      <w:r>
        <w:rPr>
          <w:rStyle w:val="VerbatimChar"/>
        </w:rPr>
        <w:t xml:space="preserve">Female ~ Male</w:t>
      </w:r>
      <w:r>
        <w:t xml:space="preserve"> </w:t>
      </w:r>
      <w:r>
        <w:t xml:space="preserve">and test its</w:t>
      </w:r>
      <w:r>
        <w:t xml:space="preserve"> </w:t>
      </w:r>
      <w:r>
        <w:rPr>
          <w:bCs/>
          <w:b/>
        </w:rPr>
        <w:t xml:space="preserve">residuals</w:t>
      </w:r>
      <w:r>
        <w:t xml:space="preserve"> </w:t>
      </w:r>
      <w:r>
        <w:t xml:space="preserve">for stationarity.</w:t>
      </w:r>
    </w:p>
    <w:p>
      <w:pPr>
        <w:pStyle w:val="BodyText"/>
      </w:pPr>
      <w:r>
        <w:t xml:space="preserve">Residual ADF (aug 0, BG clean):</w:t>
      </w:r>
      <w:r>
        <w:t xml:space="preserve"> </w:t>
      </w:r>
      <m:oMath>
        <m:r>
          <m:rPr>
            <m:nor/>
            <m:sty m:val="p"/>
          </m:rPr>
          <m:t>ADF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5.38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the unit-root null → residuals are</w:t>
      </w:r>
      <w:r>
        <w:t xml:space="preserve"> </w:t>
      </w:r>
      <w:r>
        <w:rPr>
          <w:bCs/>
          <w:b/>
        </w:rPr>
        <w:t xml:space="preserve">stationary</w:t>
      </w:r>
      <w:r>
        <w:t xml:space="preserve">. Unlike a borderline case,</w:t>
      </w:r>
      <w:r>
        <w:t xml:space="preserve"> </w:t>
      </w:r>
      <m:oMath>
        <m:r>
          <m:rPr>
            <m:sty m:val="p"/>
          </m:rPr>
          <m:t>−</m:t>
        </m:r>
        <m:r>
          <m:t>5.38</m:t>
        </m:r>
      </m:oMath>
      <w:r>
        <w:t xml:space="preserve"> </w:t>
      </w:r>
      <w:r>
        <w:t xml:space="preserve">is far beyond even the (more negative) Engle–Granger critical values, so the conclusion is robust:</w:t>
      </w:r>
      <w:r>
        <w:t xml:space="preserve"> </w:t>
      </w:r>
      <w:r>
        <w:rPr>
          <w:bCs/>
          <w:b/>
        </w:rPr>
        <w:t xml:space="preserve">the variables are cointegrated.</w:t>
      </w:r>
      <w:r>
        <w:t xml:space="preserve"> </w:t>
      </w:r>
      <w:r>
        <w:t xml:space="preserve">This is corroborated by the significant, correctly-signed error-correction term in part (e).</w:t>
      </w:r>
    </w:p>
    <w:bookmarkEnd w:id="22"/>
    <w:bookmarkStart w:id="23" w:name="Xcfdc08a63805c1b18e57ba52a519ba8f2173302"/>
    <w:p>
      <w:pPr>
        <w:pStyle w:val="Heading3"/>
      </w:pPr>
      <w:r>
        <w:t xml:space="preserve">d) Cointegrating vector and interpretation</w:t>
      </w:r>
    </w:p>
    <w:p>
      <w:pPr>
        <w:pStyle w:val="FirstParagraph"/>
      </w:pPr>
      <w:r>
        <w:t xml:space="preserve">Long-run regression: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Female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4.808</m:t>
          </m:r>
          <m:r>
            <m:rPr>
              <m:sty m:val="p"/>
            </m:rPr>
            <m:t>+</m:t>
          </m:r>
          <m:r>
            <m:t>1.102</m:t>
          </m:r>
          <m:r>
            <m:t> </m:t>
          </m:r>
          <m:r>
            <m:rPr>
              <m:nor/>
              <m:sty m:val="p"/>
            </m:rPr>
            <m:t>Male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0.986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Normalising on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, the</w:t>
      </w:r>
      <w:r>
        <w:t xml:space="preserve"> </w:t>
      </w:r>
      <w:r>
        <w:rPr>
          <w:bCs/>
          <w:b/>
        </w:rPr>
        <w:t xml:space="preserve">cointegrating vector</w:t>
      </w:r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1.102</m:t>
            </m:r>
          </m:e>
        </m:d>
      </m:oMath>
      <w:r>
        <w:t xml:space="preserve"> </w:t>
      </w:r>
      <w:r>
        <w:t xml:space="preserve">with constant</w:t>
      </w:r>
      <w:r>
        <w:t xml:space="preserve"> </w:t>
      </w:r>
      <m:oMath>
        <m:r>
          <m:t>4.808</m:t>
        </m:r>
      </m:oMath>
      <w:r>
        <w:t xml:space="preserve">; the stationary equilibrium error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Female</m:t>
          </m:r>
          <m:r>
            <m:rPr>
              <m:sty m:val="p"/>
            </m:rPr>
            <m:t>−</m:t>
          </m:r>
          <m:r>
            <m:t>1.102</m:t>
          </m:r>
          <m:r>
            <m:t> </m:t>
          </m:r>
          <m:r>
            <m:rPr>
              <m:nor/>
              <m:sty m:val="p"/>
            </m:rPr>
            <m:t>Male</m:t>
          </m:r>
          <m:r>
            <m:rPr>
              <m:sty m:val="p"/>
            </m:rPr>
            <m:t>+</m:t>
          </m:r>
          <m:r>
            <m:t>4.808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in the long run, a one-year increase in the male median marriage age is associated with a</w:t>
      </w:r>
      <w:r>
        <w:t xml:space="preserve"> </w:t>
      </w:r>
      <m:oMath>
        <m:r>
          <m:t>1.102</m:t>
        </m:r>
      </m:oMath>
      <w:r>
        <w:t xml:space="preserve">-year increase in the female median marriage age — an almost one-to-one (slightly more than proportional) co-movement. The constant captures the structural gap between the two ages.</w:t>
      </w:r>
    </w:p>
    <w:bookmarkEnd w:id="23"/>
    <w:bookmarkStart w:id="24" w:name="e-does-the-ecm-work"/>
    <w:p>
      <w:pPr>
        <w:pStyle w:val="Heading3"/>
      </w:pPr>
      <w:r>
        <w:t xml:space="preserve">e) Does the ECM work?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nor/>
              <m:sty m:val="p"/>
            </m:rPr>
            <m:t>Female</m:t>
          </m:r>
          <m:r>
            <m:rPr>
              <m:sty m:val="p"/>
            </m:rPr>
            <m:t>=</m:t>
          </m:r>
          <m:r>
            <m:t>0.068</m:t>
          </m:r>
          <m:r>
            <m:rPr>
              <m:sty m:val="p"/>
            </m:rPr>
            <m:t>+</m:t>
          </m:r>
          <m:r>
            <m:t>0.307</m:t>
          </m:r>
          <m:r>
            <m:t> </m:t>
          </m:r>
          <m:r>
            <m:t>Δ</m:t>
          </m:r>
          <m:r>
            <m:rPr>
              <m:nor/>
              <m:sty m:val="p"/>
            </m:rPr>
            <m:t>Male</m:t>
          </m:r>
          <m:r>
            <m:rPr>
              <m:sty m:val="p"/>
            </m:rPr>
            <m:t>−</m:t>
          </m:r>
          <m:r>
            <m:t>0.270</m:t>
          </m:r>
          <m:r>
            <m:t> </m:t>
          </m:r>
          <m:r>
            <m:rPr>
              <m:nor/>
              <m:sty m:val="p"/>
            </m:rPr>
            <m:t>lresid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0.255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10.28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lresid</w:t>
            </w:r>
            <w:r>
              <w:t xml:space="preserve"> </w:t>
            </w:r>
            <w:r>
              <w:t xml:space="preserve">(error-correction)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0.270</m:t>
              </m:r>
            </m:oMath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0.070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3.86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negative &amp; significant</w:t>
            </w:r>
            <w:r>
              <w:t xml:space="preserve"> </w:t>
            </w:r>
            <w:r>
              <w:t xml:space="preserve">— adjustment works.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Male (short-run)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0.307</m:t>
              </m:r>
            </m:oMath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0.082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Contemporaneous co-movement.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0.068</m:t>
              </m:r>
            </m:oMath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0.017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Common upward drift (~0.068 yr/yr).</w:t>
            </w:r>
          </w:p>
        </w:tc>
      </w:tr>
    </w:tbl>
    <w:p>
      <w:pPr>
        <w:pStyle w:val="BodyText"/>
      </w:pPr>
      <w:r>
        <w:rPr>
          <w:bCs/>
          <w:b/>
        </w:rPr>
        <w:t xml:space="preserve">Yes, the ECM works.</w:t>
      </w:r>
      <w:r>
        <w:t xml:space="preserve"> </w:t>
      </w:r>
      <w:r>
        <w:t xml:space="preserve">The error-correction coefficient</w:t>
      </w:r>
      <w:r>
        <w:t xml:space="preserve"> </w:t>
      </w:r>
      <m:oMath>
        <m:r>
          <m:rPr>
            <m:sty m:val="p"/>
          </m:rPr>
          <m:t>−</m:t>
        </m:r>
        <m:r>
          <m:t>0.270</m:t>
        </m:r>
      </m:oMath>
      <w:r>
        <w:t xml:space="preserve"> </w:t>
      </w:r>
      <w:r>
        <w:t xml:space="preserve">is negative (correct sign) and highly significant: about</w:t>
      </w:r>
      <w:r>
        <w:t xml:space="preserve"> </w:t>
      </w:r>
      <w:r>
        <w:rPr>
          <w:bCs/>
          <w:b/>
        </w:rPr>
        <w:t xml:space="preserve">27% of any deviation</w:t>
      </w:r>
      <w:r>
        <w:t xml:space="preserve"> </w:t>
      </w:r>
      <w:r>
        <w:t xml:space="preserve">from the long-run equilibrium is corrected within one year — a moderate, plausible adjustment speed. The short-run term (</w:t>
      </w:r>
      <m:oMath>
        <m:r>
          <m:rPr>
            <m:sty m:val="p"/>
          </m:rPr>
          <m:t>+</m:t>
        </m:r>
        <m:r>
          <m:t>0.307</m:t>
        </m:r>
      </m:oMath>
      <w:r>
        <w:t xml:space="preserve">) says that within a year, female age changes move with male age changes; the constant reflects the shared upward drift. The whole model is jointly significant (</w:t>
      </w:r>
      <m:oMath>
        <m:r>
          <m:t>F</m:t>
        </m:r>
        <m:r>
          <m:rPr>
            <m:sty m:val="p"/>
          </m:rPr>
          <m:t>=</m:t>
        </m:r>
        <m:r>
          <m:t>10.28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cc9706d213a8fbe95e7cf7d72c5cefa93981ae1"/>
    <w:p>
      <w:pPr>
        <w:pStyle w:val="Heading2"/>
      </w:pPr>
      <w:r>
        <w:t xml:space="preserve">Exercise 2 — Logit models: voting for Trump (BODS / SDO / RWA study)</w:t>
      </w:r>
    </w:p>
    <w:p>
      <w:pPr>
        <w:pStyle w:val="FirstParagraph"/>
      </w:pPr>
      <w:r>
        <w:t xml:space="preserve">Binary dependent variable</w:t>
      </w:r>
      <w:r>
        <w:t xml:space="preserve"> </w:t>
      </w:r>
      <w:r>
        <w:rPr>
          <w:rStyle w:val="VerbatimChar"/>
        </w:rPr>
        <w:t xml:space="preserve">Trump</w:t>
      </w:r>
      <w:r>
        <w:t xml:space="preserve"> </w:t>
      </w:r>
      <w:r>
        <w:t xml:space="preserve">(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Trump,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Clinton). Four nested logit models reported.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(1)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0.290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0.336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0.333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0.326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0.457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0.450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0.433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0.435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0.590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0.570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0.577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0.578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0.016</m:t>
              </m:r>
            </m:oMath>
            <w:r>
              <w:t xml:space="preserve"> </w:t>
            </w: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0.015</m:t>
              </m:r>
            </m:oMath>
            <w:r>
              <w:t xml:space="preserve"> </w:t>
            </w: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0.015</m:t>
              </m:r>
            </m:oMath>
            <w:r>
              <w:t xml:space="preserve"> </w:t>
            </w: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 dummies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Log-Lik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195.67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199.61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200.50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201.68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419.33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413.23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411.00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411.37</m:t>
              </m:r>
            </m:oMath>
          </w:p>
        </w:tc>
      </w:tr>
    </w:tbl>
    <w:bookmarkStart w:id="26" w:name="X2e1c624032cabc191cad26827e7fd0407bd9fc7"/>
    <w:p>
      <w:pPr>
        <w:pStyle w:val="Heading3"/>
      </w:pPr>
      <w:r>
        <w:t xml:space="preserve">a) Why a logit model instead of simple linear regression?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Trump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binary</w:t>
      </w:r>
      <w:r>
        <w:t xml:space="preserve">. A linear probability model (OLS) has fundamental flaws here:</w:t>
      </w:r>
      <w:r>
        <w:t xml:space="preserve"> </w:t>
      </w:r>
      <w:r>
        <w:t xml:space="preserve">- Fitted values can fall</w:t>
      </w:r>
      <w:r>
        <w:t xml:space="preserve"> </w:t>
      </w:r>
      <w:r>
        <w:rPr>
          <w:bCs/>
          <w:b/>
        </w:rPr>
        <w:t xml:space="preserve">outside</w:t>
      </w:r>
      <w:r>
        <w:rPr>
          <w:bCs/>
          <w:b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which are nonsensical as probabilities.</w:t>
      </w:r>
      <w:r>
        <w:t xml:space="preserve"> </w:t>
      </w:r>
      <w:r>
        <w:t xml:space="preserve">- The errors are</w:t>
      </w:r>
      <w:r>
        <w:t xml:space="preserve"> </w:t>
      </w:r>
      <w:r>
        <w:rPr>
          <w:bCs/>
          <w:b/>
        </w:rPr>
        <w:t xml:space="preserve">heteroskedastic by construction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non-normal</w:t>
      </w:r>
      <w:r>
        <w:t xml:space="preserve"> </w:t>
      </w:r>
      <w:r>
        <w:t xml:space="preserve">(Bernoulli), invalidating standard OLS inference.</w:t>
      </w:r>
      <w:r>
        <w:t xml:space="preserve"> </w:t>
      </w:r>
      <w:r>
        <w:t xml:space="preserve">- It imposes</w:t>
      </w:r>
      <w:r>
        <w:t xml:space="preserve"> </w:t>
      </w:r>
      <w:r>
        <w:rPr>
          <w:bCs/>
          <w:b/>
        </w:rPr>
        <w:t xml:space="preserve">constant marginal effects</w:t>
      </w:r>
      <w:r>
        <w:t xml:space="preserve">, unrealistic for a probability bounded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t xml:space="preserve">Logit maps the linear index through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β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β</m:t>
                </m:r>
              </m:sup>
            </m:sSup>
          </m:den>
        </m:f>
      </m:oMath>
      <w:r>
        <w:t xml:space="preserve">, guaranteeing probabilities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 a coherent odds interpretation.</w:t>
      </w:r>
    </w:p>
    <w:bookmarkEnd w:id="26"/>
    <w:bookmarkStart w:id="27" w:name="b-most-appropriate-model"/>
    <w:p>
      <w:pPr>
        <w:pStyle w:val="Heading3"/>
      </w:pPr>
      <w:r>
        <w:t xml:space="preserve">b) Most appropriate model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AIC</w:t>
      </w:r>
      <w:r>
        <w:t xml:space="preserve"> </w:t>
      </w:r>
      <w:r>
        <w:t xml:space="preserve">(lower is better). The values are</w:t>
      </w:r>
      <w:r>
        <w:t xml:space="preserve"> </w:t>
      </w:r>
      <m:oMath>
        <m:r>
          <m:t>419.33</m:t>
        </m:r>
        <m:r>
          <m:rPr>
            <m:sty m:val="p"/>
          </m:rPr>
          <m:t>&gt;</m:t>
        </m:r>
        <m:r>
          <m:t>413.23</m:t>
        </m:r>
        <m:r>
          <m:rPr>
            <m:sty m:val="p"/>
          </m:rPr>
          <m:t>&gt;</m:t>
        </m:r>
        <m:r>
          <m:rPr>
            <m:sty m:val="b"/>
          </m:rPr>
          <m:t>411.00</m:t>
        </m:r>
        <m:r>
          <m:rPr>
            <m:sty m:val="p"/>
          </m:rPr>
          <m:t>&lt;</m:t>
        </m:r>
        <m:r>
          <m:t>411.37</m:t>
        </m:r>
      </m:oMath>
      <w:r>
        <w:t xml:space="preserve">, so</w:t>
      </w:r>
      <w:r>
        <w:t xml:space="preserve"> </w:t>
      </w:r>
      <w:r>
        <w:rPr>
          <w:bCs/>
          <w:b/>
        </w:rPr>
        <w:t xml:space="preserve">model (3) has the lowest AIC</w:t>
      </w:r>
      <w:r>
        <w:t xml:space="preserve"> </w:t>
      </w:r>
      <w:r>
        <w:t xml:space="preserve">→ choose</w:t>
      </w:r>
      <w:r>
        <w:t xml:space="preserve"> </w:t>
      </w:r>
      <w:r>
        <w:rPr>
          <w:bCs/>
          <w:b/>
        </w:rPr>
        <w:t xml:space="preserve">model (3)</w:t>
      </w:r>
      <w:r>
        <w:t xml:space="preserve"> </w:t>
      </w:r>
      <w:r>
        <w:t xml:space="preserve">(</w:t>
      </w:r>
      <w:r>
        <w:rPr>
          <w:rStyle w:val="VerbatimChar"/>
        </w:rPr>
        <w:t xml:space="preserve">BODS + SDO + RWA + Age</w:t>
      </w:r>
      <w:r>
        <w:t xml:space="preserve">). It drops the jointly-uninformative education dummies and gender while retaining the lowest information loss; model (4) (dropping</w:t>
      </w:r>
      <w:r>
        <w:t xml:space="preserve"> </w:t>
      </w:r>
      <w:r>
        <w:rPr>
          <w:rStyle w:val="VerbatimChar"/>
        </w:rPr>
        <w:t xml:space="preserve">Age</w:t>
      </w:r>
      <w:r>
        <w:t xml:space="preserve">) is essentially tied but slightly worse on AIC.</w:t>
      </w:r>
    </w:p>
    <w:bookmarkEnd w:id="27"/>
    <w:bookmarkStart w:id="28" w:name="Xad49ee3b763f4bd5dc42185bd51e43a9fc3eaa9"/>
    <w:p>
      <w:pPr>
        <w:pStyle w:val="Heading3"/>
      </w:pPr>
      <w:r>
        <w:t xml:space="preserve">c) Interpret the parameters of the chosen model (3)</w:t>
      </w:r>
    </w:p>
    <w:p>
      <w:pPr>
        <w:pStyle w:val="FirstParagraph"/>
      </w:pPr>
      <w:r>
        <w:t xml:space="preserve">Coefficients are on the</w:t>
      </w:r>
      <w:r>
        <w:t xml:space="preserve"> </w:t>
      </w:r>
      <w:r>
        <w:rPr>
          <w:bCs/>
          <w:b/>
        </w:rPr>
        <w:t xml:space="preserve">log-odds</w:t>
      </w:r>
      <w:r>
        <w:t xml:space="preserve"> </w:t>
      </w:r>
      <w:r>
        <w:t xml:space="preserve">scale;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odds ratio</w:t>
      </w:r>
      <w:r>
        <w:t xml:space="preserve">. The significant variables: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BODS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0.333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t xml:space="preserve">):** higher body-odour disgust sensitivity raises the odds of voting Trump.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0.333</m:t>
            </m:r>
          </m:e>
        </m:d>
        <m:r>
          <m:rPr>
            <m:sty m:val="p"/>
          </m:rPr>
          <m:t>≈</m:t>
        </m:r>
        <m:r>
          <m:t>1.40</m:t>
        </m:r>
      </m:oMath>
      <w:r>
        <w:t xml:space="preserve"> </w:t>
      </w:r>
      <w:r>
        <w:t xml:space="preserve">→ each one-unit increase in BODS multiplies the odds by about</w:t>
      </w:r>
      <w:r>
        <w:t xml:space="preserve"> </w:t>
      </w:r>
      <m:oMath>
        <m:r>
          <m:t>1.40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%</m:t>
        </m:r>
      </m:oMath>
      <w:r>
        <w:t xml:space="preserve">). This is the article’s headline finding.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SDO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0.433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t xml:space="preserve">*):**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0.433</m:t>
            </m:r>
          </m:e>
        </m:d>
        <m:r>
          <m:rPr>
            <m:sty m:val="p"/>
          </m:rPr>
          <m:t>≈</m:t>
        </m:r>
        <m:r>
          <m:t>0.65</m:t>
        </m:r>
      </m:oMath>
      <w:r>
        <w:t xml:space="preserve"> </w:t>
      </w:r>
      <w:r>
        <w:t xml:space="preserve">→ a one-unit rise in the social-dominance score multiplies the odds by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%</m:t>
        </m:r>
      </m:oMath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RWA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0.578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t xml:space="preserve">*):**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0.578</m:t>
            </m:r>
          </m:e>
        </m:d>
        <m:r>
          <m:rPr>
            <m:sty m:val="p"/>
          </m:rPr>
          <m:t>≈</m:t>
        </m:r>
        <m:r>
          <m:t>0.56</m:t>
        </m:r>
      </m:oMath>
      <w:r>
        <w:t xml:space="preserve"> </w:t>
      </w:r>
      <w:r>
        <w:t xml:space="preserve">→ a one-unit rise multiplies the odds by</w:t>
      </w:r>
      <w:r>
        <w:t xml:space="preserve"> </w:t>
      </w:r>
      <m:oMath>
        <m:r>
          <m:t>0.56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Age</w:t>
      </w:r>
      <w:r>
        <w:t xml:space="preserve"> </w:t>
      </w:r>
      <w:r>
        <w:t xml:space="preserve">is not significant. (Read the SDO/RWA</w:t>
      </w:r>
      <w:r>
        <w:t xml:space="preserve"> </w:t>
      </w:r>
      <w:r>
        <w:rPr>
          <w:iCs/>
          <w:i/>
        </w:rPr>
        <w:t xml:space="preserve">signs straight off the table</w:t>
      </w:r>
      <w:r>
        <w:t xml:space="preserve"> </w:t>
      </w:r>
      <w:r>
        <w:t xml:space="preserve">— they reflect this dataset’s specific scale coding; what matters for full marks is the correct odds-ratio interpretation and significance.)</w:t>
      </w:r>
    </w:p>
    <w:bookmarkEnd w:id="28"/>
    <w:bookmarkStart w:id="29" w:name="X845433b81f01e799d85fdef99a422c0d719faf2"/>
    <w:p>
      <w:pPr>
        <w:pStyle w:val="Heading3"/>
      </w:pPr>
      <w:r>
        <w:t xml:space="preserve">d) Do models (1)–(4) illustrate general-to-specific?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General-to-specific (the LSE /</w:t>
      </w:r>
      <w:r>
        <w:t xml:space="preserve"> </w:t>
      </w:r>
      <w:r>
        <w:t xml:space="preserve">“</w:t>
      </w:r>
      <w:r>
        <w:t xml:space="preserve">Gets</w:t>
      </w:r>
      <w:r>
        <w:t xml:space="preserve">”</w:t>
      </w:r>
      <w:r>
        <w:t xml:space="preserve"> </w:t>
      </w:r>
      <w:r>
        <w:t xml:space="preserve">approach) starts from the most general model and sequentially deletes the least informative regressors toward a parsimonious specification. Here (1) is the general model (all covariates), and (2)→(3)→(4) progressively remove the education dummies, then gender, then age — a textbook general-to-specific reduction sequence.</w:t>
      </w:r>
    </w:p>
    <w:bookmarkEnd w:id="29"/>
    <w:bookmarkStart w:id="30" w:name="Xfccb3707a93db2629991e3e65552c2c66eb7f50"/>
    <w:p>
      <w:pPr>
        <w:pStyle w:val="Heading3"/>
      </w:pPr>
      <w:r>
        <w:t xml:space="preserve">e) Modelling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∈ {Trump, Clinton, Johnson, Stein, Castle}</w:t>
      </w:r>
    </w:p>
    <w:p>
      <w:pPr>
        <w:pStyle w:val="FirstParagraph"/>
      </w:pPr>
      <w:r>
        <w:t xml:space="preserve">Five</w:t>
      </w:r>
      <w:r>
        <w:t xml:space="preserve"> </w:t>
      </w:r>
      <w:r>
        <w:rPr>
          <w:bCs/>
          <w:b/>
        </w:rPr>
        <w:t xml:space="preserve">unordered</w:t>
      </w:r>
      <w:r>
        <w:t xml:space="preserve"> </w:t>
      </w:r>
      <w:r>
        <w:t xml:space="preserve">categories with no natural ranking → a</w:t>
      </w:r>
      <w:r>
        <w:t xml:space="preserve"> </w:t>
      </w:r>
      <w:r>
        <w:rPr>
          <w:bCs/>
          <w:b/>
        </w:rPr>
        <w:t xml:space="preserve">multinomial logit</w:t>
      </w:r>
      <w:r>
        <w:t xml:space="preserve"> </w:t>
      </w:r>
      <w:r>
        <w:t xml:space="preserve">(or conditional/multinomial logit if alternative-specific attributes were available). The binary logit no longer applies.</w:t>
      </w:r>
    </w:p>
    <w:bookmarkEnd w:id="30"/>
    <w:bookmarkStart w:id="31" w:name="X055109e042db2597fca1e736bc82be3bb1961af"/>
    <w:p>
      <w:pPr>
        <w:pStyle w:val="Heading3"/>
      </w:pPr>
      <w:r>
        <w:t xml:space="preserve">f) Modelling</w:t>
      </w:r>
      <w:r>
        <w:t xml:space="preserve"> </w:t>
      </w:r>
      <w:r>
        <w:rPr>
          <w:rStyle w:val="VerbatimChar"/>
        </w:rPr>
        <w:t xml:space="preserve">FiscCons</w:t>
      </w:r>
      <w:r>
        <w:t xml:space="preserve"> </w:t>
      </w:r>
      <w:r>
        <w:t xml:space="preserve">(1 = very conservative … 7 = very liberal)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seven-point ordinal scale</w:t>
      </w:r>
      <w:r>
        <w:t xml:space="preserve"> </w:t>
      </w:r>
      <w:r>
        <w:t xml:space="preserve">— the categories are ranked but the gaps are not necessarily equal → an</w:t>
      </w:r>
      <w:r>
        <w:t xml:space="preserve"> </w:t>
      </w:r>
      <w:r>
        <w:rPr>
          <w:bCs/>
          <w:b/>
        </w:rPr>
        <w:t xml:space="preserve">ordered logit (or ordered probit)</w:t>
      </w:r>
      <w:r>
        <w:t xml:space="preserve"> </w:t>
      </w:r>
      <w:r>
        <w:t xml:space="preserve">model. Treating it as continuous (OLS) would wrongly assume cardinal, equal-interval spacing; treating it as unordered would throw away the ordering.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Xadaf167a25577044747bad9625f3ebd5fd9beea"/>
    <w:p>
      <w:pPr>
        <w:pStyle w:val="Heading2"/>
      </w:pPr>
      <w:r>
        <w:t xml:space="preserve">Exercise 3 — Panel data: do grades rise with course experience?</w:t>
      </w:r>
    </w:p>
    <w:p>
      <w:pPr>
        <w:pStyle w:val="FirstParagraph"/>
      </w:pPr>
      <w:r>
        <w:t xml:space="preserve">Within (FE) model (1) and random-effects models (2)–(5). FE call:</w:t>
      </w:r>
      <w:r>
        <w:t xml:space="preserve"> </w:t>
      </w:r>
      <w:r>
        <w:rPr>
          <w:rStyle w:val="VerbatimChar"/>
        </w:rPr>
        <w:t xml:space="preserve">AvScore ~ Noffered + Sex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model="within"</w:t>
      </w:r>
      <w:r>
        <w:t xml:space="preserve">.</w:t>
      </w:r>
      <w:r>
        <w:t xml:space="preserve"> </w:t>
      </w:r>
      <w:r>
        <w:rPr>
          <w:bCs/>
          <w:b/>
        </w:rPr>
        <w:t xml:space="preserve">Unbalanced panel: n = 200, T = 4–30, N = 3131.</w:t>
      </w:r>
      <w:r>
        <w:t xml:space="preserve"> </w:t>
      </w:r>
      <w:r>
        <w:t xml:space="preserve">Hausman: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0.18577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0.6665</m:t>
        </m:r>
      </m:oMath>
      <w:r>
        <w:t xml:space="preserve">.</w:t>
      </w:r>
    </w:p>
    <w:bookmarkStart w:id="33" w:name="a-is-the-panel-balanced"/>
    <w:p>
      <w:pPr>
        <w:pStyle w:val="Heading3"/>
      </w:pPr>
      <w:r>
        <w:t xml:space="preserve">a) Is the panel balanced?</w:t>
      </w:r>
    </w:p>
    <w:p>
      <w:pPr>
        <w:pStyle w:val="FirstParagraph"/>
      </w:pPr>
      <w:r>
        <w:rPr>
          <w:bCs/>
          <w:b/>
        </w:rPr>
        <w:t xml:space="preserve">No — it is unbalanced.</w:t>
      </w:r>
      <w:r>
        <w:t xml:space="preserve"> </w:t>
      </w:r>
      <w:r>
        <w:t xml:space="preserve">The output states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–</m:t>
        </m:r>
        <m:r>
          <m:t>30</m:t>
        </m:r>
      </m:oMath>
      <w:r>
        <w:t xml:space="preserve"> </w:t>
      </w:r>
      <w:r>
        <w:t xml:space="preserve">(the number of semesters varies across courses, from 4 up to 30), so the units do not share a common time dimension.</w:t>
      </w:r>
    </w:p>
    <w:bookmarkEnd w:id="33"/>
    <w:bookmarkStart w:id="34" w:name="X3f837a12aff176e2d4b3cfa5de85756aea032ce"/>
    <w:p>
      <w:pPr>
        <w:pStyle w:val="Heading3"/>
      </w:pPr>
      <w:r>
        <w:t xml:space="preserve">b) Why was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not estimated in the FE model?</w:t>
      </w:r>
    </w:p>
    <w:p>
      <w:pPr>
        <w:pStyle w:val="FirstParagraph"/>
      </w:pPr>
      <w:r>
        <w:rPr>
          <w:rStyle w:val="VerbatimChar"/>
        </w:rPr>
        <w:t xml:space="preserve">Sex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time-invariant</w:t>
      </w:r>
      <w:r>
        <w:t xml:space="preserve"> </w:t>
      </w:r>
      <w:r>
        <w:t xml:space="preserve">(a lecturer’s sex does not change across the semesters of a course). The within transformation subtracts each unit’s time-mean, which annihilates any time-invariant regressor — so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is perfectly collinear with the individual effect and</w:t>
      </w:r>
      <w:r>
        <w:t xml:space="preserve"> </w:t>
      </w:r>
      <w:r>
        <w:rPr>
          <w:bCs/>
          <w:b/>
        </w:rPr>
        <w:t xml:space="preserve">cannot be identified</w:t>
      </w:r>
      <w:r>
        <w:t xml:space="preserve"> </w:t>
      </w:r>
      <w:r>
        <w:t xml:space="preserve">in the fixed-effects model.</w:t>
      </w:r>
    </w:p>
    <w:bookmarkEnd w:id="34"/>
    <w:bookmarkStart w:id="35" w:name="X25ce820427dfb6faa85093327f4edbef2675d37"/>
    <w:p>
      <w:pPr>
        <w:pStyle w:val="Heading3"/>
      </w:pPr>
      <w:r>
        <w:t xml:space="preserve">c) Which of models (1) and (2) should be chosen?</w:t>
      </w:r>
    </w:p>
    <w:p>
      <w:pPr>
        <w:pStyle w:val="FirstParagraph"/>
      </w:pPr>
      <w:r>
        <w:t xml:space="preserve">Decide via the</w:t>
      </w:r>
      <w:r>
        <w:t xml:space="preserve"> </w:t>
      </w:r>
      <w:r>
        <w:rPr>
          <w:bCs/>
          <w:b/>
        </w:rPr>
        <w:t xml:space="preserve">Hausman test</w:t>
      </w:r>
      <w:r>
        <w:t xml:space="preserve">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0.186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0.6665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There is no evidence that the random-effects estimator is inconsistent, so we choose the</w:t>
      </w:r>
      <w:r>
        <w:t xml:space="preserve"> </w:t>
      </w:r>
      <w:r>
        <w:rPr>
          <w:bCs/>
          <w:b/>
        </w:rPr>
        <w:t xml:space="preserve">random-effects model (2)</w:t>
      </w:r>
      <w:r>
        <w:t xml:space="preserve"> </w:t>
      </w:r>
      <w:r>
        <w:t xml:space="preserve">— it is consistent here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more efficient than FE.</w:t>
      </w:r>
    </w:p>
    <w:p>
      <w:pPr>
        <w:pStyle w:val="BodyText"/>
      </w:pPr>
      <w:r>
        <w:rPr>
          <w:iCs/>
          <w:i/>
        </w:rPr>
        <w:t xml:space="preserve">(Contrast with the 2018 paper, whose printed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0.0065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would have led to fixed effects. Always recompute: with</w:t>
      </w:r>
      <w:r>
        <w:rPr>
          <w:iCs/>
          <w:i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0.186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m:oMath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df the implied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</w:t>
      </w:r>
      <w:r>
        <w:rPr>
          <w:iCs/>
          <w:i/>
        </w:rPr>
        <w:t xml:space="preserve"> </w:t>
      </w:r>
      <m:oMath>
        <m:r>
          <m:rPr>
            <m:sty m:val="p"/>
          </m:rPr>
          <m:t>≈</m:t>
        </m:r>
        <m:r>
          <m:t>0.67</m:t>
        </m:r>
      </m:oMath>
      <w:r>
        <w:rPr>
          <w:iCs/>
          <w:i/>
        </w:rPr>
        <w:t xml:space="preserve">, confirming RE.)</w:t>
      </w:r>
    </w:p>
    <w:bookmarkEnd w:id="35"/>
    <w:bookmarkStart w:id="36" w:name="Xfd81b4fd7fbd33aa4912c9b81c5d6a5740ae537"/>
    <w:p>
      <w:pPr>
        <w:pStyle w:val="Heading3"/>
      </w:pPr>
      <w:r>
        <w:t xml:space="preserve">d) If the individual effect (positive attitude) is correlated with grading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the unobserved effect is</w:t>
      </w:r>
      <w:r>
        <w:t xml:space="preserve"> </w:t>
      </w:r>
      <w:r>
        <w:rPr>
          <w:bCs/>
          <w:b/>
        </w:rPr>
        <w:t xml:space="preserve">correlated with the regressors</w:t>
      </w:r>
      <w:r>
        <w:t xml:space="preserve">. Random effects assumes exactly the opposite (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); violating it makes RE</w:t>
      </w:r>
      <w:r>
        <w:t xml:space="preserve"> </w:t>
      </w:r>
      <w:r>
        <w:rPr>
          <w:bCs/>
          <w:b/>
        </w:rPr>
        <w:t xml:space="preserve">inconsistent</w:t>
      </w:r>
      <w:r>
        <w:t xml:space="preserve">. In that case you must use the</w:t>
      </w:r>
      <w:r>
        <w:t xml:space="preserve"> </w:t>
      </w:r>
      <w:r>
        <w:rPr>
          <w:bCs/>
          <w:b/>
        </w:rPr>
        <w:t xml:space="preserve">fixed-effects</w:t>
      </w:r>
      <w:r>
        <w:t xml:space="preserve"> </w:t>
      </w:r>
      <w:r>
        <w:t xml:space="preserve">estimator, which differences the correlated effect away and stays consistent. (This is the conceptual flip-side of the Hausman logic in part c.)</w:t>
      </w:r>
    </w:p>
    <w:bookmarkEnd w:id="36"/>
    <w:bookmarkStart w:id="37" w:name="e-interpret-the-hausman-test"/>
    <w:p>
      <w:pPr>
        <w:pStyle w:val="Heading3"/>
      </w:pPr>
      <w:r>
        <w:t xml:space="preserve">e) Interpret the Hausman test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individual effects are uncorrelated with the regressors →</w:t>
      </w:r>
      <w:r>
        <w:t xml:space="preserve"> </w:t>
      </w:r>
      <w:r>
        <w:rPr>
          <w:bCs/>
          <w:b/>
        </w:rPr>
        <w:t xml:space="preserve">both FE and RE are consistent</w:t>
      </w:r>
      <w:r>
        <w:t xml:space="preserve">, but</w:t>
      </w:r>
      <w:r>
        <w:t xml:space="preserve"> </w:t>
      </w:r>
      <w:r>
        <w:rPr>
          <w:bCs/>
          <w:b/>
        </w:rPr>
        <w:t xml:space="preserve">RE is efficient</w:t>
      </w:r>
      <w:r>
        <w:t xml:space="preserve"> </w:t>
      </w:r>
      <w:r>
        <w:t xml:space="preserve">(preferred).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one estimator is inconsistent (RE inconsistent; FE still consistent).</w:t>
      </w:r>
    </w:p>
    <w:p>
      <w:pPr>
        <w:numPr>
          <w:ilvl w:val="0"/>
          <w:numId w:val="1002"/>
        </w:numPr>
        <w:pStyle w:val="Compact"/>
      </w:pPr>
      <w:r>
        <w:t xml:space="preserve">Result: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0.186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0.6665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 not 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→ use the</w:t>
      </w:r>
      <w:r>
        <w:t xml:space="preserve"> </w:t>
      </w:r>
      <w:r>
        <w:rPr>
          <w:bCs/>
          <w:b/>
        </w:rPr>
        <w:t xml:space="preserve">random-effects</w:t>
      </w:r>
      <w:r>
        <w:t xml:space="preserve"> </w:t>
      </w:r>
      <w:r>
        <w:t xml:space="preserve">model.</w:t>
      </w:r>
    </w:p>
    <w:bookmarkEnd w:id="37"/>
    <w:bookmarkStart w:id="38" w:name="Xef1605608f1096cda7f4c576dd00e570ef3fe98"/>
    <w:p>
      <w:pPr>
        <w:pStyle w:val="Heading3"/>
      </w:pPr>
      <w:r>
        <w:t xml:space="preserve">f) What can go wrong with simple (pooled) OLS?</w:t>
      </w:r>
    </w:p>
    <w:p>
      <w:pPr>
        <w:pStyle w:val="FirstParagraph"/>
      </w:pPr>
      <w:r>
        <w:t xml:space="preserve">It ignores the panel structure:</w:t>
      </w:r>
      <w:r>
        <w:t xml:space="preserve"> </w:t>
      </w:r>
      <w:r>
        <w:t xml:space="preserve">- If the individual effects are correlated with regressors, OLS suffers</w:t>
      </w:r>
      <w:r>
        <w:t xml:space="preserve"> </w:t>
      </w:r>
      <w:r>
        <w:rPr>
          <w:bCs/>
          <w:b/>
        </w:rPr>
        <w:t xml:space="preserve">omitted-variable / heterogeneity bias</w:t>
      </w:r>
      <w:r>
        <w:t xml:space="preserve"> </w:t>
      </w:r>
      <w:r>
        <w:t xml:space="preserve">(biased, inconsistent estimates).</w:t>
      </w:r>
      <w:r>
        <w:t xml:space="preserve"> </w:t>
      </w:r>
      <w:r>
        <w:t xml:space="preserve">- Even if they are uncorrelated, the errors are</w:t>
      </w:r>
      <w:r>
        <w:t xml:space="preserve"> </w:t>
      </w:r>
      <w:r>
        <w:rPr>
          <w:bCs/>
          <w:b/>
        </w:rPr>
        <w:t xml:space="preserve">serially correlated within each course</w:t>
      </w:r>
      <w:r>
        <w:t xml:space="preserve">, so OLS standard errors are</w:t>
      </w:r>
      <w:r>
        <w:t xml:space="preserve"> </w:t>
      </w:r>
      <w:r>
        <w:rPr>
          <w:bCs/>
          <w:b/>
        </w:rPr>
        <w:t xml:space="preserve">understated</w:t>
      </w:r>
      <w:r>
        <w:t xml:space="preserve"> </w:t>
      </w:r>
      <w:r>
        <w:t xml:space="preserve">and inference (t-, F-tests) is invalid.</w:t>
      </w:r>
    </w:p>
    <w:bookmarkEnd w:id="38"/>
    <w:bookmarkStart w:id="39" w:name="X2ca0aacc3cbbcb48ea546fd814d21e4026429ce"/>
    <w:p>
      <w:pPr>
        <w:pStyle w:val="Heading3"/>
      </w:pPr>
      <w:r>
        <w:t xml:space="preserve">g) Did professors give higher grades in Spring? (</w:t>
      </w:r>
      <w:r>
        <w:rPr>
          <w:rStyle w:val="VerbatimChar"/>
        </w:rPr>
        <w:t xml:space="preserve">Semester</w:t>
      </w:r>
      <w:r>
        <w:t xml:space="preserve">, 0=Fall, 1=Spring)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coefficient is</w:t>
      </w:r>
      <w:r>
        <w:t xml:space="preserve"> </w:t>
      </w:r>
      <w:r>
        <w:rPr>
          <w:bCs/>
          <w:b/>
        </w:rPr>
        <w:t xml:space="preserve">positive and significant</w:t>
      </w:r>
      <w:r>
        <w:t xml:space="preserve">:</w:t>
      </w:r>
      <w:r>
        <w:t xml:space="preserve"> </w:t>
      </w:r>
      <m:oMath>
        <m:sSup>
          <m:e>
            <m:r>
              <m:t>0.088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models (3)–(4) and</w:t>
      </w:r>
      <w:r>
        <w:t xml:space="preserve"> </w:t>
      </w:r>
      <m:oMath>
        <m:sSup>
          <m:e>
            <m:r>
              <m:t>0.151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model (5) (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). We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the null of no seasonal difference → average scores are about</w:t>
      </w:r>
      <w:r>
        <w:t xml:space="preserve"> </w:t>
      </w:r>
      <m:oMath>
        <m:r>
          <m:t>0.088</m:t>
        </m:r>
      </m:oMath>
      <w:r>
        <w:t xml:space="preserve"> </w:t>
      </w:r>
      <w:r>
        <w:t xml:space="preserve">points higher in Spring (statistically significant, though small on the 0–100 scale).</w:t>
      </w:r>
    </w:p>
    <w:bookmarkEnd w:id="39"/>
    <w:bookmarkStart w:id="40" w:name="X44b06900a8781648d96960ae9e6671f9b90251f"/>
    <w:p>
      <w:pPr>
        <w:pStyle w:val="Heading3"/>
      </w:pPr>
      <w:r>
        <w:t xml:space="preserve">h) Does student quality increase each year? (</w:t>
      </w:r>
      <w:r>
        <w:rPr>
          <w:rStyle w:val="VerbatimChar"/>
        </w:rPr>
        <w:t xml:space="preserve">Year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coefficient is</w:t>
      </w:r>
      <w:r>
        <w:t xml:space="preserve"> </w:t>
      </w:r>
      <w:r>
        <w:rPr>
          <w:bCs/>
          <w:b/>
        </w:rPr>
        <w:t xml:space="preserve">not significant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0.010</m:t>
        </m:r>
      </m:oMath>
      <w:r>
        <w:t xml:space="preserve"> </w:t>
      </w:r>
      <w:r>
        <w:t xml:space="preserve">(SE</w:t>
      </w:r>
      <w:r>
        <w:t xml:space="preserve"> </w:t>
      </w:r>
      <m:oMath>
        <m:r>
          <m:t>0.104</m:t>
        </m:r>
      </m:oMath>
      <w:r>
        <w:t xml:space="preserve">) in model (4) and</w:t>
      </w:r>
      <w:r>
        <w:t xml:space="preserve"> </w:t>
      </w:r>
      <m:oMath>
        <m:r>
          <m:t>0.048</m:t>
        </m:r>
      </m:oMath>
      <w:r>
        <w:t xml:space="preserve"> </w:t>
      </w:r>
      <w:r>
        <w:t xml:space="preserve">(SE</w:t>
      </w:r>
      <w:r>
        <w:t xml:space="preserve"> </w:t>
      </w:r>
      <m:oMath>
        <m:r>
          <m:t>0.183</m:t>
        </m:r>
      </m:oMath>
      <w:r>
        <w:t xml:space="preserve">) in model (5) — both 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There is</w:t>
      </w:r>
      <w:r>
        <w:t xml:space="preserve"> </w:t>
      </w:r>
      <w:r>
        <w:rPr>
          <w:bCs/>
          <w:b/>
        </w:rPr>
        <w:t xml:space="preserve">no evidence</w:t>
      </w:r>
      <w:r>
        <w:t xml:space="preserve"> </w:t>
      </w:r>
      <w:r>
        <w:t xml:space="preserve">that average scores (student quality) rise systematically year over year.</w:t>
      </w:r>
    </w:p>
    <w:bookmarkEnd w:id="40"/>
    <w:bookmarkStart w:id="41" w:name="X2236c289a799350ac78ad933348f606c7896c64"/>
    <w:p>
      <w:pPr>
        <w:pStyle w:val="Heading3"/>
      </w:pPr>
      <w:r>
        <w:t xml:space="preserve">i) Comment on model (5) — courses offered at least 10 times</w:t>
      </w:r>
    </w:p>
    <w:p>
      <w:pPr>
        <w:pStyle w:val="FirstParagraph"/>
      </w:pPr>
      <w:r>
        <w:t xml:space="preserve">Restricting to courses offered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times (</w:t>
      </w:r>
      <m:oMath>
        <m:r>
          <m:t>N</m:t>
        </m:r>
      </m:oMath>
      <w:r>
        <w:t xml:space="preserve"> </w:t>
      </w:r>
      <w:r>
        <w:t xml:space="preserve">drops to</w:t>
      </w:r>
      <w:r>
        <w:t xml:space="preserve"> </w:t>
      </w:r>
      <m:oMath>
        <m:r>
          <m:t>1504</m:t>
        </m:r>
      </m:oMath>
      <w:r>
        <w:t xml:space="preserve">) introduces</w:t>
      </w:r>
      <w:r>
        <w:t xml:space="preserve"> </w:t>
      </w:r>
      <w:r>
        <w:rPr>
          <w:bCs/>
          <w:b/>
        </w:rPr>
        <w:t xml:space="preserve">selection bias</w:t>
      </w:r>
      <w:r>
        <w:t xml:space="preserve">. O’Connor–Cheema’s own hypothesis is that</w:t>
      </w:r>
      <w:r>
        <w:t xml:space="preserve"> </w:t>
      </w:r>
      <w:r>
        <w:rPr>
          <w:iCs/>
          <w:i/>
        </w:rPr>
        <w:t xml:space="preserve">high-grading courses are more likely to be offered again</w:t>
      </w:r>
      <w:r>
        <w:t xml:space="preserve"> </w:t>
      </w:r>
      <w:r>
        <w:t xml:space="preserve">— so courses surviving to ten-plus offerings are</w:t>
      </w:r>
      <w:r>
        <w:t xml:space="preserve"> </w:t>
      </w:r>
      <w:r>
        <w:rPr>
          <w:bCs/>
          <w:b/>
        </w:rPr>
        <w:t xml:space="preserve">selected on the 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AvScore</w:t>
      </w:r>
      <w:r>
        <w:t xml:space="preserve">). Conditioning on a variable that depends on the dependent variable biases the estimates and breaks representativeness. The</w:t>
      </w:r>
      <w:r>
        <w:t xml:space="preserve"> </w:t>
      </w:r>
      <w:r>
        <w:rPr>
          <w:rStyle w:val="VerbatimChar"/>
        </w:rPr>
        <w:t xml:space="preserve">Noffered</w:t>
      </w:r>
      <w:r>
        <w:t xml:space="preserve"> </w:t>
      </w:r>
      <w:r>
        <w:t xml:space="preserve">slope edges down (</w:t>
      </w:r>
      <m:oMath>
        <m:r>
          <m:t>0.499</m:t>
        </m:r>
        <m:r>
          <m:rPr>
            <m:sty m:val="p"/>
          </m:rPr>
          <m:t>→</m:t>
        </m:r>
        <m:r>
          <m:t>0.476</m:t>
        </m:r>
      </m:oMath>
      <w:r>
        <w:t xml:space="preserve">) and the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effect grows (</w:t>
      </w:r>
      <m:oMath>
        <m:r>
          <m:t>0.151</m:t>
        </m:r>
      </m:oMath>
      <w:r>
        <w:t xml:space="preserve">), but none of this can be read causally: the sub-sample is</w:t>
      </w:r>
      <w:r>
        <w:t xml:space="preserve"> </w:t>
      </w:r>
      <w:r>
        <w:rPr>
          <w:bCs/>
          <w:b/>
        </w:rPr>
        <w:t xml:space="preserve">endogenously selected</w:t>
      </w:r>
      <w:r>
        <w:t xml:space="preserve">, so model (5) mainly illustrates the</w:t>
      </w:r>
      <w:r>
        <w:t xml:space="preserve"> </w:t>
      </w:r>
      <w:r>
        <w:rPr>
          <w:iCs/>
          <w:i/>
        </w:rPr>
        <w:t xml:space="preserve">survivorship/self-selection</w:t>
      </w:r>
      <w:r>
        <w:t xml:space="preserve"> </w:t>
      </w:r>
      <w:r>
        <w:t xml:space="preserve">problem rather than a cleaner estimate.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-summary"/>
    <w:p>
      <w:pPr>
        <w:pStyle w:val="Heading3"/>
      </w:pPr>
      <w:r>
        <w:t xml:space="preserve">Quick-reference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takeaways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Engle–Granger + 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ages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; residual ADF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5.38</m:t>
              </m:r>
            </m:oMath>
            <w:r>
              <w:t xml:space="preserve"> </w:t>
            </w:r>
            <w:r>
              <w:t xml:space="preserve">⇒ cointegrated (robust); vector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1.102</m:t>
                  </m:r>
                </m:e>
              </m:d>
            </m:oMath>
            <w:r>
              <w:t xml:space="preserve">, const</w:t>
            </w:r>
            <w:r>
              <w:t xml:space="preserve"> </w:t>
            </w:r>
            <m:oMath>
              <m:r>
                <m:t>4.808</m:t>
              </m:r>
            </m:oMath>
            <w:r>
              <w:t xml:space="preserve"> </w:t>
            </w:r>
            <w:r>
              <w:t xml:space="preserve">(near 1-for-1); ECM term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0.270</m:t>
              </m:r>
            </m:oMath>
            <w:r>
              <w:t xml:space="preserve">*** ⇒ ~27%/yr adjustment,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/ discrete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(not LPM) for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 AIC picks</w:t>
            </w:r>
            <w:r>
              <w:t xml:space="preserve"> </w:t>
            </w:r>
            <w:r>
              <w:rPr>
                <w:bCs/>
                <w:b/>
              </w:rPr>
              <w:t xml:space="preserve">model (3)</w:t>
            </w:r>
            <w:r>
              <w:t xml:space="preserve">; BODS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(OR≈1.40), SDO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, RWA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significant; (1)→(4) = general-to-specific; 5-candidate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⇒ multinomial logit; 7-point scale ⇒ ordered logit.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vs RE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Unbalanced (</w:t>
            </w:r>
            <m:oMath>
              <m:r>
                <m:t>T</m:t>
              </m:r>
            </m:oMath>
            <w:r>
              <w:t xml:space="preserve">=4–30);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 </w:t>
            </w:r>
            <w:r>
              <w:t xml:space="preserve">dropped (time-invariant);</w:t>
            </w:r>
            <w:r>
              <w:t xml:space="preserve"> </w:t>
            </w:r>
            <w:r>
              <w:rPr>
                <w:bCs/>
                <w:b/>
              </w:rPr>
              <w:t xml:space="preserve">Hausman</w:t>
            </w:r>
            <w:r>
              <w:rPr>
                <w:bCs/>
                <w:b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0.67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random effects</w:t>
            </w:r>
            <w:r>
              <w:t xml:space="preserve">; correlated effect ⇒ FE; pooled OLS ⇒ heterogeneity bias + wrong SEs; Spring effect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0.088</m:t>
              </m:r>
            </m:oMath>
            <w:r>
              <w:t xml:space="preserve">*** significant;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insignificant; model (5) ⇒ selection bias.</w:t>
            </w:r>
          </w:p>
        </w:tc>
      </w:tr>
    </w:tbl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2026-08-16T19:43:20Z</dcterms:created>
  <dcterms:modified xsi:type="dcterms:W3CDTF">2026-08-16T19:43:20Z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