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advanced-econometrics-exam-solutions"/>
    <w:p>
      <w:pPr>
        <w:pStyle w:val="Heading1"/>
      </w:pPr>
      <w:r>
        <w:t xml:space="preserve">Advanced Econometrics — Exam Solutions</w:t>
      </w:r>
    </w:p>
    <w:p>
      <w:pPr>
        <w:pStyle w:val="FirstParagraph"/>
      </w:pPr>
      <w:r>
        <w:rPr>
          <w:bCs/>
          <w:b/>
        </w:rPr>
        <w:t xml:space="preserve">Paper:</w:t>
      </w:r>
      <w:r>
        <w:t xml:space="preserve"> </w:t>
      </w:r>
      <w:r>
        <w:t xml:space="preserve">September 1, 2021 (R. Woźniak)</w:t>
      </w:r>
      <w:r>
        <w:t xml:space="preserve"> </w:t>
      </w:r>
      <w:r>
        <w:rPr>
          <w:bCs/>
          <w:b/>
        </w:rPr>
        <w:t xml:space="preserve">Significance level:</w:t>
      </w:r>
      <w:r>
        <w:t xml:space="preserve"> </w:t>
      </w:r>
      <m:oMath>
        <m:r>
          <m:t>α</m:t>
        </m:r>
        <m:r>
          <m:rPr>
            <m:sty m:val="p"/>
          </m:rPr>
          <m:t>=</m:t>
        </m:r>
        <m:r>
          <m:t>5</m:t>
        </m:r>
        <m:r>
          <m:rPr>
            <m:sty m:val="p"/>
          </m:rPr>
          <m:t>%</m:t>
        </m:r>
      </m:oMath>
      <w:r>
        <w:t xml:space="preserve"> </w:t>
      </w:r>
      <w:r>
        <w:t xml:space="preserve">for all exercises.</w:t>
      </w:r>
    </w:p>
    <w:p>
      <w:pPr>
        <w:pStyle w:val="BlockText"/>
      </w:pPr>
      <w:r>
        <w:rPr>
          <w:iCs/>
          <w:i/>
        </w:rPr>
        <w:t xml:space="preserve">(Exercise 0 is the obligatory honour-code sentence — no econometrics there.)</w:t>
      </w:r>
    </w:p>
    <w:p>
      <w:r>
        <w:pict>
          <v:rect style="width:0;height:1.5pt" o:hralign="center" o:hrstd="t" o:hr="t"/>
        </w:pict>
      </w:r>
    </w:p>
    <w:bookmarkStart w:id="25" w:name="X715828656b92cbab076baf28ff8691e902be0f0"/>
    <w:p>
      <w:pPr>
        <w:pStyle w:val="Heading2"/>
      </w:pPr>
      <w:r>
        <w:t xml:space="preserve">Exercise 1 (30%) — Panel data: do grades rise with course experience?</w:t>
      </w:r>
    </w:p>
    <w:p>
      <w:pPr>
        <w:pStyle w:val="FirstParagraph"/>
      </w:pPr>
      <w:r>
        <w:t xml:space="preserve">FE within model (1):</w:t>
      </w:r>
      <w:r>
        <w:t xml:space="preserve"> </w:t>
      </w:r>
      <w:r>
        <w:rPr>
          <w:rStyle w:val="VerbatimChar"/>
        </w:rPr>
        <w:t xml:space="preserve">AvScore ~ Noffered + Sex</w:t>
      </w:r>
      <w:r>
        <w:t xml:space="preserve">.</w:t>
      </w:r>
      <w:r>
        <w:t xml:space="preserve"> </w:t>
      </w:r>
      <w:r>
        <w:rPr>
          <w:bCs/>
          <w:b/>
        </w:rPr>
        <w:t xml:space="preserve">Unbalanced panel: n = 200, T = 4–30, N = 3131.</w:t>
      </w:r>
      <w:r>
        <w:t xml:space="preserve"> </w:t>
      </w:r>
      <w:r>
        <w:rPr>
          <w:rStyle w:val="VerbatimChar"/>
        </w:rPr>
        <w:t xml:space="preserve">Noffered</w:t>
      </w:r>
      <w:r>
        <w:t xml:space="preserve"> </w:t>
      </w:r>
      <m:oMath>
        <m:r>
          <m:rPr>
            <m:sty m:val="p"/>
          </m:rPr>
          <m:t>=</m:t>
        </m:r>
        <m:r>
          <m:t>0.4992</m:t>
        </m:r>
      </m:oMath>
      <w:r>
        <w:t xml:space="preserve"> </w:t>
      </w:r>
      <w:r>
        <w:t xml:space="preserve">(</w:t>
      </w:r>
      <m:oMath>
        <m:r>
          <m:t>t</m:t>
        </m:r>
        <m:r>
          <m:rPr>
            <m:sty m:val="p"/>
          </m:rPr>
          <m:t>=</m:t>
        </m:r>
        <m:r>
          <m:t>292.6</m:t>
        </m:r>
      </m:oMath>
      <w:r>
        <w:t xml:space="preserve">). Hausman:</w:t>
      </w:r>
      <w:r>
        <w:t xml:space="preserve"> </w:t>
      </w:r>
      <m:oMath>
        <m:sSup>
          <m:e>
            <m:r>
              <m:t>χ</m:t>
            </m:r>
          </m:e>
          <m:sup>
            <m:r>
              <m:t>2</m:t>
            </m:r>
          </m:sup>
        </m:sSup>
        <m:r>
          <m:rPr>
            <m:sty m:val="p"/>
          </m:rPr>
          <m:t>=</m:t>
        </m:r>
        <m:r>
          <m:t>0.18577</m:t>
        </m:r>
      </m:oMath>
      <w:r>
        <w:t xml:space="preserve">,</w:t>
      </w:r>
      <w:r>
        <w:t xml:space="preserve"> </w:t>
      </w:r>
      <m:oMath>
        <m:r>
          <m:t>d</m:t>
        </m:r>
        <m:r>
          <m:t>f</m:t>
        </m:r>
        <m:r>
          <m:rPr>
            <m:sty m:val="p"/>
          </m:rPr>
          <m:t>=</m:t>
        </m:r>
        <m:r>
          <m:t>1</m:t>
        </m:r>
      </m:oMath>
      <w:r>
        <w:t xml:space="preserve">,</w:t>
      </w:r>
      <w:r>
        <w:t xml:space="preserve"> </w:t>
      </w:r>
      <m:oMath>
        <m:r>
          <m:t>p</m:t>
        </m:r>
        <m:r>
          <m:rPr>
            <m:sty m:val="p"/>
          </m:rPr>
          <m:t>=</m:t>
        </m:r>
        <m:r>
          <m:t>0.6521</m:t>
        </m:r>
      </m:oMath>
      <w:r>
        <w:t xml:space="preserve">.</w:t>
      </w:r>
    </w:p>
    <w:bookmarkStart w:id="20" w:name="a-is-the-panel-balanced"/>
    <w:p>
      <w:pPr>
        <w:pStyle w:val="Heading3"/>
      </w:pPr>
      <w:r>
        <w:t xml:space="preserve">a) Is the panel balanced?</w:t>
      </w:r>
    </w:p>
    <w:p>
      <w:pPr>
        <w:pStyle w:val="FirstParagraph"/>
      </w:pPr>
      <w:r>
        <w:rPr>
          <w:bCs/>
          <w:b/>
        </w:rPr>
        <w:t xml:space="preserve">No — it is unbalanced.</w:t>
      </w:r>
      <w:r>
        <w:t xml:space="preserve"> </w:t>
      </w:r>
      <w:r>
        <w:t xml:space="preserve">The cross-section has</w:t>
      </w:r>
      <w:r>
        <w:t xml:space="preserve"> </w:t>
      </w:r>
      <m:oMath>
        <m:r>
          <m:t>n</m:t>
        </m:r>
        <m:r>
          <m:rPr>
            <m:sty m:val="p"/>
          </m:rPr>
          <m:t>=</m:t>
        </m:r>
        <m:r>
          <m:t>200</m:t>
        </m:r>
      </m:oMath>
      <w:r>
        <w:t xml:space="preserve"> </w:t>
      </w:r>
      <w:r>
        <w:t xml:space="preserve">courses but the time dimension varies,</w:t>
      </w:r>
      <w:r>
        <w:t xml:space="preserve"> </w:t>
      </w:r>
      <m:oMath>
        <m:r>
          <m:t>T</m:t>
        </m:r>
        <m:r>
          <m:rPr>
            <m:sty m:val="p"/>
          </m:rPr>
          <m:t>=</m:t>
        </m:r>
        <m:r>
          <m:t>4</m:t>
        </m:r>
        <m:r>
          <m:rPr>
            <m:nor/>
            <m:sty m:val="p"/>
          </m:rPr>
          <m:t>–</m:t>
        </m:r>
        <m:r>
          <m:t>30</m:t>
        </m:r>
      </m:oMath>
      <w:r>
        <w:t xml:space="preserve">. Note</w:t>
      </w:r>
      <w:r>
        <w:t xml:space="preserve"> </w:t>
      </w:r>
      <m:oMath>
        <m:r>
          <m:t>N</m:t>
        </m:r>
        <m:r>
          <m:rPr>
            <m:sty m:val="p"/>
          </m:rPr>
          <m:t>=</m:t>
        </m:r>
        <m:r>
          <m:t>3131</m:t>
        </m:r>
      </m:oMath>
      <w:r>
        <w:t xml:space="preserve"> </w:t>
      </w:r>
      <w:r>
        <w:t xml:space="preserve">(total course–semester observations) is</w:t>
      </w:r>
      <w:r>
        <w:t xml:space="preserve"> </w:t>
      </w:r>
      <w:r>
        <w:rPr>
          <w:bCs/>
          <w:b/>
        </w:rPr>
        <w:t xml:space="preserve">not</w:t>
      </w:r>
      <w:r>
        <w:t xml:space="preserve"> </w:t>
      </w:r>
      <m:oMath>
        <m:r>
          <m:t>n</m:t>
        </m:r>
        <m:r>
          <m:rPr>
            <m:sty m:val="p"/>
          </m:rPr>
          <m:t>×</m:t>
        </m:r>
        <m:r>
          <m:t>T</m:t>
        </m:r>
      </m:oMath>
      <w:r>
        <w:t xml:space="preserve"> </w:t>
      </w:r>
      <w:r>
        <w:t xml:space="preserve">for a single</w:t>
      </w:r>
      <w:r>
        <w:t xml:space="preserve"> </w:t>
      </w:r>
      <m:oMath>
        <m:r>
          <m:t>T</m:t>
        </m:r>
      </m:oMath>
      <w:r>
        <w:t xml:space="preserve">, which is exactly what</w:t>
      </w:r>
      <w:r>
        <w:t xml:space="preserve"> </w:t>
      </w:r>
      <w:r>
        <w:t xml:space="preserve">“</w:t>
      </w:r>
      <w:r>
        <w:t xml:space="preserve">unbalanced</w:t>
      </w:r>
      <w:r>
        <w:t xml:space="preserve">”</w:t>
      </w:r>
      <w:r>
        <w:t xml:space="preserve"> </w:t>
      </w:r>
      <w:r>
        <w:t xml:space="preserve">means; do not confuse</w:t>
      </w:r>
      <w:r>
        <w:t xml:space="preserve"> </w:t>
      </w:r>
      <m:oMath>
        <m:r>
          <m:t>N</m:t>
        </m:r>
      </m:oMath>
      <w:r>
        <w:t xml:space="preserve"> </w:t>
      </w:r>
      <w:r>
        <w:t xml:space="preserve">(total observations) with</w:t>
      </w:r>
      <w:r>
        <w:t xml:space="preserve"> </w:t>
      </w:r>
      <m:oMath>
        <m:r>
          <m:t>n</m:t>
        </m:r>
      </m:oMath>
      <w:r>
        <w:t xml:space="preserve"> </w:t>
      </w:r>
      <w:r>
        <w:t xml:space="preserve">(number of units).</w:t>
      </w:r>
    </w:p>
    <w:bookmarkEnd w:id="20"/>
    <w:bookmarkStart w:id="21" w:name="b-why-was-sex-not-estimated-in-model-1"/>
    <w:p>
      <w:pPr>
        <w:pStyle w:val="Heading3"/>
      </w:pPr>
      <w:r>
        <w:t xml:space="preserve">b) Why was</w:t>
      </w:r>
      <w:r>
        <w:t xml:space="preserve"> </w:t>
      </w:r>
      <w:r>
        <w:rPr>
          <w:rStyle w:val="VerbatimChar"/>
        </w:rPr>
        <w:t xml:space="preserve">Sex</w:t>
      </w:r>
      <w:r>
        <w:t xml:space="preserve"> </w:t>
      </w:r>
      <w:r>
        <w:t xml:space="preserve">not estimated in model (1)?</w:t>
      </w:r>
    </w:p>
    <w:p>
      <w:pPr>
        <w:pStyle w:val="FirstParagraph"/>
      </w:pPr>
      <w:r>
        <w:t xml:space="preserve">Because</w:t>
      </w:r>
      <w:r>
        <w:t xml:space="preserve"> </w:t>
      </w:r>
      <w:r>
        <w:rPr>
          <w:rStyle w:val="VerbatimChar"/>
        </w:rPr>
        <w:t xml:space="preserve">Sex</w:t>
      </w:r>
      <w:r>
        <w:t xml:space="preserve"> </w:t>
      </w:r>
      <w:r>
        <w:t xml:space="preserve">is</w:t>
      </w:r>
      <w:r>
        <w:t xml:space="preserve"> </w:t>
      </w:r>
      <w:r>
        <w:rPr>
          <w:bCs/>
          <w:b/>
        </w:rPr>
        <w:t xml:space="preserve">time-invariant</w:t>
      </w:r>
      <w:r>
        <w:t xml:space="preserve"> </w:t>
      </w:r>
      <w:r>
        <w:t xml:space="preserve">— a lecturer’s sex does not change across the semesters of a course. The fixed-effects (</w:t>
      </w:r>
      <w:r>
        <w:t xml:space="preserve">“</w:t>
      </w:r>
      <w:r>
        <w:t xml:space="preserve">within</w:t>
      </w:r>
      <w:r>
        <w:t xml:space="preserve">”</w:t>
      </w:r>
      <w:r>
        <w:t xml:space="preserve">) estimator demeans every variable within each unit, which</w:t>
      </w:r>
      <w:r>
        <w:t xml:space="preserve"> </w:t>
      </w:r>
      <w:r>
        <w:rPr>
          <w:bCs/>
          <w:b/>
        </w:rPr>
        <w:t xml:space="preserve">annihilates any time-invariant regressor</w:t>
      </w:r>
      <w:r>
        <w:t xml:space="preserve"> </w:t>
      </w:r>
      <w:r>
        <w:t xml:space="preserve">(it becomes a column of zeros, perfectly collinear with the individual effect). So</w:t>
      </w:r>
      <w:r>
        <w:t xml:space="preserve"> </w:t>
      </w:r>
      <w:r>
        <w:rPr>
          <w:rStyle w:val="VerbatimChar"/>
        </w:rPr>
        <w:t xml:space="preserve">Sex</w:t>
      </w:r>
      <w:r>
        <w:t xml:space="preserve"> </w:t>
      </w:r>
      <w:r>
        <w:t xml:space="preserve">cannot be identified in the FE model.</w:t>
      </w:r>
      <w:r>
        <w:t xml:space="preserve"> </w:t>
      </w:r>
      <w:r>
        <w:rPr>
          <w:iCs/>
          <w:i/>
        </w:rPr>
        <w:t xml:space="preserve">(Relatedly, the within model reports no intercept: the individual effects</w:t>
      </w:r>
      <w:r>
        <w:rPr>
          <w:iCs/>
          <w:i/>
        </w:rPr>
        <w:t xml:space="preserve"> </w:t>
      </w:r>
      <m:oMath>
        <m:sSub>
          <m:e>
            <m:r>
              <m:t>u</m:t>
            </m:r>
          </m:e>
          <m:sub>
            <m:r>
              <m:t>i</m:t>
            </m:r>
          </m:sub>
        </m:sSub>
      </m:oMath>
      <w:r>
        <w:rPr>
          <w:iCs/>
          <w:i/>
        </w:rPr>
        <w:t xml:space="preserve"> </w:t>
      </w:r>
      <w:r>
        <w:rPr>
          <w:iCs/>
          <w:i/>
        </w:rPr>
        <w:t xml:space="preserve">absorb it, since the within transformation removes each unit’s mean.)</w:t>
      </w:r>
    </w:p>
    <w:bookmarkEnd w:id="21"/>
    <w:bookmarkStart w:id="22" w:name="c-interpretation-of-the-hausman-test"/>
    <w:p>
      <w:pPr>
        <w:pStyle w:val="Heading3"/>
      </w:pPr>
      <w:r>
        <w:t xml:space="preserve">c) Interpretation of the Hausman test</w:t>
      </w:r>
    </w:p>
    <w:p>
      <w:pPr>
        <w:numPr>
          <w:ilvl w:val="0"/>
          <w:numId w:val="1001"/>
        </w:numPr>
        <w:pStyle w:val="Compact"/>
      </w:pPr>
      <m:oMath>
        <m:sSub>
          <m:e>
            <m:r>
              <m:t>H</m:t>
            </m:r>
          </m:e>
          <m:sub>
            <m:r>
              <m:t>0</m:t>
            </m:r>
          </m:sub>
        </m:sSub>
      </m:oMath>
      <w:r>
        <w:t xml:space="preserve">: the individual effects are uncorrelated with the regressors ⇒</w:t>
      </w:r>
      <w:r>
        <w:t xml:space="preserve"> </w:t>
      </w:r>
      <w:r>
        <w:rPr>
          <w:bCs/>
          <w:b/>
        </w:rPr>
        <w:t xml:space="preserve">both FE and RE are consistent, but RE is efficient</w:t>
      </w:r>
      <w:r>
        <w:t xml:space="preserve"> </w:t>
      </w:r>
      <w:r>
        <w:t xml:space="preserve">(preferred).</w:t>
      </w:r>
    </w:p>
    <w:p>
      <w:pPr>
        <w:numPr>
          <w:ilvl w:val="0"/>
          <w:numId w:val="1001"/>
        </w:numPr>
        <w:pStyle w:val="Compact"/>
      </w:pPr>
      <m:oMath>
        <m:sSub>
          <m:e>
            <m:r>
              <m:t>H</m:t>
            </m:r>
          </m:e>
          <m:sub>
            <m:r>
              <m:t>a</m:t>
            </m:r>
          </m:sub>
        </m:sSub>
      </m:oMath>
      <w:r>
        <w:t xml:space="preserve">: RE is inconsistent (only FE consistent).</w:t>
      </w:r>
    </w:p>
    <w:p>
      <w:pPr>
        <w:numPr>
          <w:ilvl w:val="0"/>
          <w:numId w:val="1001"/>
        </w:numPr>
        <w:pStyle w:val="Compact"/>
      </w:pPr>
      <w:r>
        <w:t xml:space="preserve">Result:</w:t>
      </w:r>
      <w:r>
        <w:t xml:space="preserve"> </w:t>
      </w:r>
      <m:oMath>
        <m:sSup>
          <m:e>
            <m:r>
              <m:t>χ</m:t>
            </m:r>
          </m:e>
          <m:sup>
            <m:r>
              <m:t>2</m:t>
            </m:r>
          </m:sup>
        </m:sSup>
        <m:r>
          <m:rPr>
            <m:sty m:val="p"/>
          </m:rPr>
          <m:t>=</m:t>
        </m:r>
        <m:r>
          <m:t>0.186</m:t>
        </m:r>
      </m:oMath>
      <w:r>
        <w:t xml:space="preserve">,</w:t>
      </w:r>
      <w:r>
        <w:t xml:space="preserve"> </w:t>
      </w:r>
      <m:oMath>
        <m:r>
          <m:t>d</m:t>
        </m:r>
        <m:r>
          <m:t>f</m:t>
        </m:r>
        <m:r>
          <m:rPr>
            <m:sty m:val="p"/>
          </m:rPr>
          <m:t>=</m:t>
        </m:r>
        <m:r>
          <m:t>1</m:t>
        </m:r>
      </m:oMath>
      <w:r>
        <w:t xml:space="preserve">,</w:t>
      </w:r>
      <w:r>
        <w:t xml:space="preserve"> </w:t>
      </w:r>
      <m:oMath>
        <m:r>
          <m:t>p</m:t>
        </m:r>
        <m:r>
          <m:rPr>
            <m:sty m:val="p"/>
          </m:rPr>
          <m:t>=</m:t>
        </m:r>
        <m:r>
          <m:t>0.6521</m:t>
        </m:r>
        <m:r>
          <m:rPr>
            <m:sty m:val="p"/>
          </m:rPr>
          <m:t>&gt;</m:t>
        </m:r>
        <m:r>
          <m:t>0.05</m:t>
        </m:r>
      </m:oMath>
      <w:r>
        <w:t xml:space="preserve"> </w:t>
      </w:r>
      <w:r>
        <w:t xml:space="preserve">→</w:t>
      </w:r>
      <w:r>
        <w:t xml:space="preserve"> </w:t>
      </w:r>
      <w:r>
        <w:rPr>
          <w:bCs/>
          <w:b/>
        </w:rPr>
        <w:t xml:space="preserve">fail to reject</w:t>
      </w:r>
      <w:r>
        <w:rPr>
          <w:bCs/>
          <w:b/>
        </w:rPr>
        <w:t xml:space="preserve"> </w:t>
      </w:r>
      <m:oMath>
        <m:sSub>
          <m:e>
            <m:r>
              <m:t>H</m:t>
            </m:r>
          </m:e>
          <m:sub>
            <m:r>
              <m:t>0</m:t>
            </m:r>
          </m:sub>
        </m:sSub>
      </m:oMath>
      <w:r>
        <w:t xml:space="preserve"> </w:t>
      </w:r>
      <w:r>
        <w:t xml:space="preserve">→ choose the</w:t>
      </w:r>
      <w:r>
        <w:t xml:space="preserve"> </w:t>
      </w:r>
      <w:r>
        <w:rPr>
          <w:bCs/>
          <w:b/>
        </w:rPr>
        <w:t xml:space="preserve">random-effects</w:t>
      </w:r>
      <w:r>
        <w:t xml:space="preserve"> </w:t>
      </w:r>
      <w:r>
        <w:t xml:space="preserve">model.</w:t>
      </w:r>
    </w:p>
    <w:p>
      <w:pPr>
        <w:pStyle w:val="FirstParagraph"/>
      </w:pPr>
      <w:r>
        <w:rPr>
          <w:iCs/>
          <w:i/>
        </w:rPr>
        <w:t xml:space="preserve">(Sanity check:</w:t>
      </w:r>
      <w:r>
        <w:rPr>
          <w:iCs/>
          <w:i/>
        </w:rPr>
        <w:t xml:space="preserve"> </w:t>
      </w:r>
      <m:oMath>
        <m:sSup>
          <m:e>
            <m:r>
              <m:t>χ</m:t>
            </m:r>
          </m:e>
          <m:sup>
            <m:r>
              <m:t>2</m:t>
            </m:r>
          </m:sup>
        </m:sSup>
        <m:r>
          <m:rPr>
            <m:sty m:val="p"/>
          </m:rPr>
          <m:t>=</m:t>
        </m:r>
        <m:r>
          <m:t>0.19</m:t>
        </m:r>
      </m:oMath>
      <w:r>
        <w:rPr>
          <w:iCs/>
          <w:i/>
        </w:rPr>
        <w:t xml:space="preserve"> </w:t>
      </w:r>
      <w:r>
        <w:rPr>
          <w:iCs/>
          <w:i/>
        </w:rPr>
        <w:t xml:space="preserve">on</w:t>
      </w:r>
      <w:r>
        <w:rPr>
          <w:iCs/>
          <w:i/>
        </w:rPr>
        <w:t xml:space="preserve"> </w:t>
      </w:r>
      <m:oMath>
        <m:r>
          <m:t>1</m:t>
        </m:r>
      </m:oMath>
      <w:r>
        <w:rPr>
          <w:iCs/>
          <w:i/>
        </w:rPr>
        <w:t xml:space="preserve"> </w:t>
      </w:r>
      <w:r>
        <w:rPr>
          <w:iCs/>
          <w:i/>
        </w:rPr>
        <w:t xml:space="preserve">df indeed gives</w:t>
      </w:r>
      <w:r>
        <w:rPr>
          <w:iCs/>
          <w:i/>
        </w:rPr>
        <w:t xml:space="preserve"> </w:t>
      </w:r>
      <m:oMath>
        <m:r>
          <m:t>p</m:t>
        </m:r>
        <m:r>
          <m:rPr>
            <m:sty m:val="p"/>
          </m:rPr>
          <m:t>≈</m:t>
        </m:r>
        <m:r>
          <m:t>0.65</m:t>
        </m:r>
      </m:oMath>
      <w:r>
        <w:rPr>
          <w:iCs/>
          <w:i/>
        </w:rPr>
        <w:t xml:space="preserve"> </w:t>
      </w:r>
      <w:r>
        <w:rPr>
          <w:iCs/>
          <w:i/>
        </w:rPr>
        <w:t xml:space="preserve">— internally consistent, unlike the 2018 paper’s misprinted</w:t>
      </w:r>
      <w:r>
        <w:rPr>
          <w:iCs/>
          <w:i/>
        </w:rPr>
        <w:t xml:space="preserve"> </w:t>
      </w:r>
      <m:oMath>
        <m:r>
          <m:t>0.0065</m:t>
        </m:r>
      </m:oMath>
      <w:r>
        <w:rPr>
          <w:iCs/>
          <w:i/>
        </w:rPr>
        <w:t xml:space="preserve">.)</w:t>
      </w:r>
    </w:p>
    <w:bookmarkEnd w:id="22"/>
    <w:bookmarkStart w:id="23" w:name="X4c3cd7c80ea959ab6965344bab740e5588ea78d"/>
    <w:p>
      <w:pPr>
        <w:pStyle w:val="Heading3"/>
      </w:pPr>
      <w:r>
        <w:t xml:space="preserve">d) What can go wrong with simple (pooled) OLS?</w:t>
      </w:r>
    </w:p>
    <w:p>
      <w:pPr>
        <w:pStyle w:val="FirstParagraph"/>
      </w:pPr>
      <w:r>
        <w:t xml:space="preserve">Pooled OLS ignores the panel structure:</w:t>
      </w:r>
      <w:r>
        <w:t xml:space="preserve"> </w:t>
      </w:r>
      <w:r>
        <w:t xml:space="preserve">- If the unobserved individual effects are</w:t>
      </w:r>
      <w:r>
        <w:t xml:space="preserve"> </w:t>
      </w:r>
      <w:r>
        <w:rPr>
          <w:bCs/>
          <w:b/>
        </w:rPr>
        <w:t xml:space="preserve">correlated with the regressors</w:t>
      </w:r>
      <w:r>
        <w:t xml:space="preserve">, OLS suffers</w:t>
      </w:r>
      <w:r>
        <w:t xml:space="preserve"> </w:t>
      </w:r>
      <w:r>
        <w:rPr>
          <w:bCs/>
          <w:b/>
        </w:rPr>
        <w:t xml:space="preserve">omitted-variable / heterogeneity bias</w:t>
      </w:r>
      <w:r>
        <w:t xml:space="preserve"> </w:t>
      </w:r>
      <w:r>
        <w:t xml:space="preserve">→ biased, inconsistent estimates.</w:t>
      </w:r>
      <w:r>
        <w:t xml:space="preserve"> </w:t>
      </w:r>
      <w:r>
        <w:t xml:space="preserve">- Even if they are uncorrelated, the composite error is</w:t>
      </w:r>
      <w:r>
        <w:t xml:space="preserve"> </w:t>
      </w:r>
      <w:r>
        <w:rPr>
          <w:bCs/>
          <w:b/>
        </w:rPr>
        <w:t xml:space="preserve">serially correlated within each course</w:t>
      </w:r>
      <w:r>
        <w:t xml:space="preserve"> </w:t>
      </w:r>
      <w:r>
        <w:t xml:space="preserve">(and often heteroskedastic), so the OLS standard errors are</w:t>
      </w:r>
      <w:r>
        <w:t xml:space="preserve"> </w:t>
      </w:r>
      <w:r>
        <w:rPr>
          <w:bCs/>
          <w:b/>
        </w:rPr>
        <w:t xml:space="preserve">understated</w:t>
      </w:r>
      <w:r>
        <w:t xml:space="preserve"> </w:t>
      </w:r>
      <w:r>
        <w:t xml:space="preserve">and all</w:t>
      </w:r>
      <w:r>
        <w:t xml:space="preserve"> </w:t>
      </w:r>
      <m:oMath>
        <m:r>
          <m:t>t</m:t>
        </m:r>
      </m:oMath>
      <w:r>
        <w:t xml:space="preserve">/</w:t>
      </w:r>
      <m:oMath>
        <m:r>
          <m:t>F</m:t>
        </m:r>
      </m:oMath>
      <w:r>
        <w:t xml:space="preserve"> </w:t>
      </w:r>
      <w:r>
        <w:t xml:space="preserve">inference is invalid.</w:t>
      </w:r>
    </w:p>
    <w:bookmarkEnd w:id="23"/>
    <w:bookmarkStart w:id="24" w:name="Xdc47ad4ceaaf36cea2831628a5778386ce5efdc"/>
    <w:p>
      <w:pPr>
        <w:pStyle w:val="Heading3"/>
      </w:pPr>
      <w:r>
        <w:t xml:space="preserve">e) Interpretation of the parameters of model (4)</w:t>
      </w:r>
    </w:p>
    <w:p>
      <w:pPr>
        <w:pStyle w:val="FirstParagraph"/>
      </w:pPr>
      <w:r>
        <w:t xml:space="preserve">Model (4) is the random-effects model with all four regressors: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Estimate</w:t>
            </w:r>
          </w:p>
        </w:tc>
        <w:tc>
          <w:tcPr/>
          <w:p>
            <w:pPr>
              <w:pStyle w:val="Compact"/>
              <w:jc w:val="left"/>
            </w:pPr>
            <w:r>
              <w:t xml:space="preserve">Sig.</w:t>
            </w:r>
          </w:p>
        </w:tc>
        <w:tc>
          <w:tcPr/>
          <w:p>
            <w:pPr>
              <w:pStyle w:val="Compact"/>
              <w:jc w:val="left"/>
            </w:pPr>
            <w:r>
              <w:t xml:space="preserve">Interpretation</w:t>
            </w:r>
          </w:p>
        </w:tc>
      </w:tr>
      <w:tr>
        <w:tc>
          <w:tcPr/>
          <w:p>
            <w:pPr>
              <w:pStyle w:val="Compact"/>
              <w:jc w:val="left"/>
            </w:pPr>
            <w:r>
              <w:rPr>
                <w:rStyle w:val="VerbatimChar"/>
              </w:rPr>
              <w:t xml:space="preserve">Noffered</w:t>
            </w:r>
          </w:p>
        </w:tc>
        <w:tc>
          <w:tcPr/>
          <w:p>
            <w:pPr>
              <w:pStyle w:val="Compact"/>
              <w:jc w:val="left"/>
            </w:pPr>
            <m:oMath>
              <m:r>
                <m:t>0.504</m:t>
              </m:r>
            </m:oMath>
          </w:p>
        </w:tc>
        <w:tc>
          <w:tcPr/>
          <w:p>
            <w:pPr>
              <w:pStyle w:val="Compact"/>
              <w:jc w:val="left"/>
            </w:pPr>
            <w:r>
              <w:t xml:space="preserve">***</w:t>
            </w:r>
          </w:p>
        </w:tc>
        <w:tc>
          <w:tcPr/>
          <w:p>
            <w:pPr>
              <w:pStyle w:val="Compact"/>
              <w:jc w:val="left"/>
            </w:pPr>
            <w:r>
              <w:t xml:space="preserve">Each additional semester a course is offered raises its average score by about</w:t>
            </w:r>
            <w:r>
              <w:t xml:space="preserve"> </w:t>
            </w:r>
            <m:oMath>
              <m:r>
                <m:t>0.504</m:t>
              </m:r>
            </m:oMath>
            <w:r>
              <w:rPr>
                <w:bCs/>
                <w:b/>
              </w:rPr>
              <w:t xml:space="preserve"> </w:t>
            </w:r>
            <w:r>
              <w:rPr>
                <w:bCs/>
                <w:b/>
              </w:rPr>
              <w:t xml:space="preserve">points</w:t>
            </w:r>
            <w:r>
              <w:t xml:space="preserve"> </w:t>
            </w:r>
            <w:r>
              <w:t xml:space="preserve">(0–100 scale) — the core</w:t>
            </w:r>
            <w:r>
              <w:t xml:space="preserve"> </w:t>
            </w:r>
            <w:r>
              <w:t xml:space="preserve">“</w:t>
            </w:r>
            <w:r>
              <w:t xml:space="preserve">evaluations rise with experience</w:t>
            </w:r>
            <w:r>
              <w:t xml:space="preserve">”</w:t>
            </w:r>
            <w:r>
              <w:t xml:space="preserve"> </w:t>
            </w:r>
            <w:r>
              <w:t xml:space="preserve">effect.</w:t>
            </w:r>
          </w:p>
        </w:tc>
      </w:tr>
      <w:tr>
        <w:tc>
          <w:tcPr/>
          <w:p>
            <w:pPr>
              <w:pStyle w:val="Compact"/>
              <w:jc w:val="left"/>
            </w:pPr>
            <w:r>
              <w:rPr>
                <w:rStyle w:val="VerbatimChar"/>
              </w:rPr>
              <w:t xml:space="preserve">Sex</w:t>
            </w:r>
            <w:r>
              <w:t xml:space="preserve"> </w:t>
            </w:r>
            <w:r>
              <w:t xml:space="preserve">(1=female)</w:t>
            </w:r>
          </w:p>
        </w:tc>
        <w:tc>
          <w:tcPr/>
          <w:p>
            <w:pPr>
              <w:pStyle w:val="Compact"/>
              <w:jc w:val="left"/>
            </w:pPr>
            <m:oMath>
              <m:r>
                <m:rPr>
                  <m:sty m:val="p"/>
                </m:rPr>
                <m:t>−</m:t>
              </m:r>
              <m:r>
                <m:t>0.651</m:t>
              </m:r>
            </m:oMath>
          </w:p>
        </w:tc>
        <w:tc>
          <w:tcPr/>
          <w:p>
            <w:pPr>
              <w:pStyle w:val="Compact"/>
              <w:jc w:val="left"/>
            </w:pPr>
            <w:r>
              <w:t xml:space="preserve">ns</w:t>
            </w:r>
          </w:p>
        </w:tc>
        <w:tc>
          <w:tcPr/>
          <w:p>
            <w:pPr>
              <w:pStyle w:val="Compact"/>
              <w:jc w:val="left"/>
            </w:pPr>
            <w:r>
              <w:t xml:space="preserve">Female lecturers score</w:t>
            </w:r>
            <w:r>
              <w:t xml:space="preserve"> </w:t>
            </w:r>
            <m:oMath>
              <m:r>
                <m:rPr>
                  <m:sty m:val="p"/>
                </m:rPr>
                <m:t>≈</m:t>
              </m:r>
              <m:r>
                <m:t>0.65</m:t>
              </m:r>
            </m:oMath>
            <w:r>
              <w:t xml:space="preserve"> </w:t>
            </w:r>
            <w:r>
              <w:t xml:space="preserve">points lower than males, but</w:t>
            </w:r>
            <w:r>
              <w:t xml:space="preserve"> </w:t>
            </w:r>
            <w:r>
              <w:rPr>
                <w:bCs/>
                <w:b/>
              </w:rPr>
              <w:t xml:space="preserve">not significant</w:t>
            </w:r>
            <w:r>
              <w:t xml:space="preserve"> </w:t>
            </w:r>
            <w:r>
              <w:t xml:space="preserve">→ no gender difference.</w:t>
            </w:r>
          </w:p>
        </w:tc>
      </w:tr>
      <w:tr>
        <w:tc>
          <w:tcPr/>
          <w:p>
            <w:pPr>
              <w:pStyle w:val="Compact"/>
              <w:jc w:val="left"/>
            </w:pPr>
            <w:r>
              <w:rPr>
                <w:rStyle w:val="VerbatimChar"/>
              </w:rPr>
              <w:t xml:space="preserve">Semester</w:t>
            </w:r>
            <w:r>
              <w:t xml:space="preserve"> </w:t>
            </w:r>
            <w:r>
              <w:t xml:space="preserve">(1=Spring)</w:t>
            </w:r>
          </w:p>
        </w:tc>
        <w:tc>
          <w:tcPr/>
          <w:p>
            <w:pPr>
              <w:pStyle w:val="Compact"/>
              <w:jc w:val="left"/>
            </w:pPr>
            <m:oMath>
              <m:r>
                <m:t>0.088</m:t>
              </m:r>
            </m:oMath>
          </w:p>
        </w:tc>
        <w:tc>
          <w:tcPr/>
          <w:p>
            <w:pPr>
              <w:pStyle w:val="Compact"/>
              <w:jc w:val="left"/>
            </w:pPr>
            <w:r>
              <w:t xml:space="preserve">***</w:t>
            </w:r>
          </w:p>
        </w:tc>
        <w:tc>
          <w:tcPr/>
          <w:p>
            <w:pPr>
              <w:pStyle w:val="Compact"/>
              <w:jc w:val="left"/>
            </w:pPr>
            <w:r>
              <w:t xml:space="preserve">Spring courses average about</w:t>
            </w:r>
            <w:r>
              <w:t xml:space="preserve"> </w:t>
            </w:r>
            <m:oMath>
              <m:r>
                <m:t>0.088</m:t>
              </m:r>
            </m:oMath>
            <w:r>
              <w:rPr>
                <w:bCs/>
                <w:b/>
              </w:rPr>
              <w:t xml:space="preserve"> </w:t>
            </w:r>
            <w:r>
              <w:rPr>
                <w:bCs/>
                <w:b/>
              </w:rPr>
              <w:t xml:space="preserve">points higher</w:t>
            </w:r>
            <w:r>
              <w:t xml:space="preserve"> </w:t>
            </w:r>
            <w:r>
              <w:t xml:space="preserve">than Fall — small but significant.</w:t>
            </w:r>
          </w:p>
        </w:tc>
      </w:tr>
      <w:tr>
        <w:tc>
          <w:tcPr/>
          <w:p>
            <w:pPr>
              <w:pStyle w:val="Compact"/>
              <w:jc w:val="left"/>
            </w:pPr>
            <w:r>
              <w:rPr>
                <w:rStyle w:val="VerbatimChar"/>
              </w:rPr>
              <w:t xml:space="preserve">Year</w:t>
            </w:r>
          </w:p>
        </w:tc>
        <w:tc>
          <w:tcPr/>
          <w:p>
            <w:pPr>
              <w:pStyle w:val="Compact"/>
              <w:jc w:val="left"/>
            </w:pPr>
            <m:oMath>
              <m:r>
                <m:rPr>
                  <m:sty m:val="p"/>
                </m:rPr>
                <m:t>−</m:t>
              </m:r>
              <m:r>
                <m:t>0.010</m:t>
              </m:r>
            </m:oMath>
          </w:p>
        </w:tc>
        <w:tc>
          <w:tcPr/>
          <w:p>
            <w:pPr>
              <w:pStyle w:val="Compact"/>
              <w:jc w:val="left"/>
            </w:pPr>
            <w:r>
              <w:t xml:space="preserve">ns</w:t>
            </w:r>
          </w:p>
        </w:tc>
        <w:tc>
          <w:tcPr/>
          <w:p>
            <w:pPr>
              <w:pStyle w:val="Compact"/>
              <w:jc w:val="left"/>
            </w:pPr>
            <w:r>
              <w:rPr>
                <w:bCs/>
                <w:b/>
              </w:rPr>
              <w:t xml:space="preserve">Not significant</w:t>
            </w:r>
            <w:r>
              <w:t xml:space="preserve"> </w:t>
            </w:r>
            <w:r>
              <w:t xml:space="preserve">→ no evidence average scores trend up or down year to year.</w:t>
            </w:r>
          </w:p>
        </w:tc>
      </w:tr>
      <w:tr>
        <w:tc>
          <w:tcPr/>
          <w:p>
            <w:pPr>
              <w:pStyle w:val="Compact"/>
              <w:jc w:val="left"/>
            </w:pPr>
            <w:r>
              <w:t xml:space="preserve">Constant</w:t>
            </w:r>
          </w:p>
        </w:tc>
        <w:tc>
          <w:tcPr/>
          <w:p>
            <w:pPr>
              <w:pStyle w:val="Compact"/>
              <w:jc w:val="left"/>
            </w:pPr>
            <m:oMath>
              <m:r>
                <m:t>104.026</m:t>
              </m:r>
            </m:oMath>
          </w:p>
        </w:tc>
        <w:tc>
          <w:tcPr/>
          <w:p>
            <w:pPr>
              <w:pStyle w:val="Compact"/>
              <w:jc w:val="left"/>
            </w:pPr>
            <w:r>
              <w:t xml:space="preserve">ns</w:t>
            </w:r>
          </w:p>
        </w:tc>
        <w:tc>
          <w:tcPr/>
          <w:p>
            <w:pPr>
              <w:pStyle w:val="Compact"/>
              <w:jc w:val="left"/>
            </w:pPr>
            <w:r>
              <w:t xml:space="preserve">Baseline; imprecisely estimated (huge SE once</w:t>
            </w:r>
            <w:r>
              <w:t xml:space="preserve"> </w:t>
            </w:r>
            <w:r>
              <w:rPr>
                <w:rStyle w:val="VerbatimChar"/>
              </w:rPr>
              <w:t xml:space="preserve">Year</w:t>
            </w:r>
            <w:r>
              <w:t xml:space="preserve"> </w:t>
            </w:r>
            <w:r>
              <w:t xml:space="preserve">enters), not meaningfully interpretable.</w:t>
            </w:r>
          </w:p>
        </w:tc>
      </w:tr>
    </w:tbl>
    <w:p>
      <w:pPr>
        <w:pStyle w:val="BodyText"/>
      </w:pPr>
      <w:r>
        <w:t xml:space="preserve">Substantively: experience (</w:t>
      </w:r>
      <w:r>
        <w:rPr>
          <w:rStyle w:val="VerbatimChar"/>
        </w:rPr>
        <w:t xml:space="preserve">Noffered</w:t>
      </w:r>
      <w:r>
        <w:t xml:space="preserve">) and the Spring dummy matter; lecturer sex and the calendar year do not.</w:t>
      </w:r>
    </w:p>
    <w:p>
      <w:r>
        <w:pict>
          <v:rect style="width:0;height:1.5pt" o:hralign="center" o:hrstd="t" o:hr="t"/>
        </w:pict>
      </w:r>
    </w:p>
    <w:bookmarkEnd w:id="24"/>
    <w:bookmarkEnd w:id="25"/>
    <w:bookmarkStart w:id="31" w:name="exercise-2-30-ardl-for-tax-revenues"/>
    <w:p>
      <w:pPr>
        <w:pStyle w:val="Heading2"/>
      </w:pPr>
      <w:r>
        <w:t xml:space="preserve">Exercise 2 (30%) — ARDL for tax revenues</w:t>
      </w:r>
    </w:p>
    <w:p>
      <w:pPr>
        <w:pStyle w:val="FirstParagraph"/>
      </w:pPr>
      <w:r>
        <w:t xml:space="preserve">Model (an ARDL(1,0)):</w:t>
      </w:r>
      <w:r>
        <w:t xml:space="preserve"> </w:t>
      </w:r>
      <m:oMath>
        <m:r>
          <m:rPr>
            <m:sty m:val="p"/>
          </m:rPr>
          <m:t>ln</m:t>
        </m:r>
        <m:sSub>
          <m:e>
            <m:d>
              <m:dPr>
                <m:begChr m:val="("/>
                <m:endChr m:val=")"/>
                <m:sepChr m:val=""/>
                <m:grow/>
              </m:dPr>
              <m:e>
                <m:r>
                  <m:rPr>
                    <m:nor/>
                    <m:sty m:val="p"/>
                  </m:rPr>
                  <m:t>TAX</m:t>
                </m:r>
              </m:e>
            </m:d>
          </m:e>
          <m:sub>
            <m:r>
              <m:t>t</m:t>
            </m:r>
          </m:sub>
        </m:sSub>
        <m:r>
          <m:rPr>
            <m:sty m:val="p"/>
          </m:rPr>
          <m:t>=</m:t>
        </m:r>
        <m:sSub>
          <m:e>
            <m:r>
              <m:t>β</m:t>
            </m:r>
          </m:e>
          <m:sub>
            <m:r>
              <m:t>0</m:t>
            </m:r>
          </m:sub>
        </m:sSub>
        <m:r>
          <m:rPr>
            <m:sty m:val="p"/>
          </m:rPr>
          <m:t>+</m:t>
        </m:r>
        <m:r>
          <m:t>ρ</m:t>
        </m:r>
        <m:r>
          <m:t> </m:t>
        </m:r>
        <m:r>
          <m:rPr>
            <m:sty m:val="p"/>
          </m:rPr>
          <m:t>ln</m:t>
        </m:r>
        <m:sSub>
          <m:e>
            <m:d>
              <m:dPr>
                <m:begChr m:val="("/>
                <m:endChr m:val=")"/>
                <m:sepChr m:val=""/>
                <m:grow/>
              </m:dPr>
              <m:e>
                <m:r>
                  <m:rPr>
                    <m:nor/>
                    <m:sty m:val="p"/>
                  </m:rPr>
                  <m:t>TAX</m:t>
                </m:r>
              </m:e>
            </m:d>
          </m:e>
          <m:sub>
            <m:r>
              <m:t>t</m:t>
            </m:r>
            <m:r>
              <m:rPr>
                <m:sty m:val="p"/>
              </m:rPr>
              <m:t>−</m:t>
            </m:r>
            <m:r>
              <m:t>1</m:t>
            </m:r>
          </m:sub>
        </m:sSub>
        <m:r>
          <m:rPr>
            <m:sty m:val="p"/>
          </m:rPr>
          <m:t>+</m:t>
        </m:r>
        <m:sSub>
          <m:e>
            <m:r>
              <m:t>β</m:t>
            </m:r>
          </m:e>
          <m:sub>
            <m:r>
              <m:rPr>
                <m:nor/>
                <m:sty m:val="p"/>
              </m:rPr>
              <m:t>VAT</m:t>
            </m:r>
          </m:sub>
        </m:sSub>
        <m:r>
          <m:t> </m:t>
        </m:r>
        <m:sSub>
          <m:e>
            <m:r>
              <m:rPr>
                <m:nor/>
                <m:sty m:val="p"/>
              </m:rPr>
              <m:t>VAT</m:t>
            </m:r>
          </m:e>
          <m:sub>
            <m:r>
              <m:t>t</m:t>
            </m:r>
          </m:sub>
        </m:sSub>
        <m:r>
          <m:rPr>
            <m:sty m:val="p"/>
          </m:rPr>
          <m:t>+</m:t>
        </m:r>
        <m:sSub>
          <m:e>
            <m:r>
              <m:t>ϵ</m:t>
            </m:r>
          </m:e>
          <m:sub>
            <m:r>
              <m:t>t</m:t>
            </m:r>
          </m:sub>
        </m:sSub>
      </m:oMath>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Term</w:t>
            </w:r>
          </w:p>
        </w:tc>
        <w:tc>
          <w:tcPr/>
          <w:p>
            <w:pPr>
              <w:pStyle w:val="Compact"/>
              <w:jc w:val="left"/>
            </w:pPr>
            <w:r>
              <w:t xml:space="preserve">Estimate</w:t>
            </w:r>
          </w:p>
        </w:tc>
        <w:tc>
          <w:tcPr/>
          <w:p>
            <w:pPr>
              <w:pStyle w:val="Compact"/>
              <w:jc w:val="left"/>
            </w:pPr>
            <m:oMath>
              <m:r>
                <m:t>t</m:t>
              </m:r>
            </m:oMath>
          </w:p>
        </w:tc>
        <w:tc>
          <w:tcPr/>
          <w:p>
            <w:pPr>
              <w:pStyle w:val="Compact"/>
              <w:jc w:val="left"/>
            </w:pPr>
            <m:oMath>
              <m:r>
                <m:t>p</m:t>
              </m:r>
            </m:oMath>
          </w:p>
        </w:tc>
      </w:tr>
      <w:tr>
        <w:tc>
          <w:tcPr/>
          <w:p>
            <w:pPr>
              <w:pStyle w:val="Compact"/>
              <w:jc w:val="left"/>
            </w:pPr>
            <w:r>
              <w:t xml:space="preserve">Intercept</w:t>
            </w:r>
          </w:p>
        </w:tc>
        <w:tc>
          <w:tcPr/>
          <w:p>
            <w:pPr>
              <w:pStyle w:val="Compact"/>
              <w:jc w:val="left"/>
            </w:pPr>
            <m:oMath>
              <m:r>
                <m:t>2.0391</m:t>
              </m:r>
            </m:oMath>
          </w:p>
        </w:tc>
        <w:tc>
          <w:tcPr/>
          <w:p>
            <w:pPr>
              <w:pStyle w:val="Compact"/>
              <w:jc w:val="left"/>
            </w:pPr>
            <m:oMath>
              <m:r>
                <m:t>2.86</m:t>
              </m:r>
            </m:oMath>
          </w:p>
        </w:tc>
        <w:tc>
          <w:tcPr/>
          <w:p>
            <w:pPr>
              <w:pStyle w:val="Compact"/>
              <w:jc w:val="left"/>
            </w:pPr>
            <m:oMath>
              <m:r>
                <m:t>0.004</m:t>
              </m:r>
            </m:oMath>
            <w:r>
              <w:t xml:space="preserve"> </w:t>
            </w:r>
            <w:r>
              <w:t xml:space="preserve">***</w:t>
            </w:r>
          </w:p>
        </w:tc>
      </w:tr>
      <w:tr>
        <w:tc>
          <w:tcPr/>
          <w:p>
            <w:pPr>
              <w:pStyle w:val="Compact"/>
              <w:jc w:val="left"/>
            </w:pPr>
            <m:oMath>
              <m:r>
                <m:rPr>
                  <m:sty m:val="p"/>
                </m:rPr>
                <m:t>ln</m:t>
              </m:r>
              <m:sSub>
                <m:e>
                  <m:d>
                    <m:dPr>
                      <m:begChr m:val="("/>
                      <m:endChr m:val=")"/>
                      <m:sepChr m:val=""/>
                      <m:grow/>
                    </m:dPr>
                    <m:e>
                      <m:r>
                        <m:rPr>
                          <m:nor/>
                          <m:sty m:val="p"/>
                        </m:rPr>
                        <m:t>TAX</m:t>
                      </m:r>
                    </m:e>
                  </m:d>
                </m:e>
                <m:sub>
                  <m:r>
                    <m:t>t</m:t>
                  </m:r>
                  <m:r>
                    <m:rPr>
                      <m:sty m:val="p"/>
                    </m:rPr>
                    <m:t>−</m:t>
                  </m:r>
                  <m:r>
                    <m:t>1</m:t>
                  </m:r>
                </m:sub>
              </m:sSub>
            </m:oMath>
          </w:p>
        </w:tc>
        <w:tc>
          <w:tcPr/>
          <w:p>
            <w:pPr>
              <w:pStyle w:val="Compact"/>
              <w:jc w:val="left"/>
            </w:pPr>
            <m:oMath>
              <m:r>
                <m:t>0.4013</m:t>
              </m:r>
            </m:oMath>
          </w:p>
        </w:tc>
        <w:tc>
          <w:tcPr/>
          <w:p>
            <w:pPr>
              <w:pStyle w:val="Compact"/>
              <w:jc w:val="left"/>
            </w:pPr>
            <m:oMath>
              <m:r>
                <m:t>3.96</m:t>
              </m:r>
            </m:oMath>
          </w:p>
        </w:tc>
        <w:tc>
          <w:tcPr/>
          <w:p>
            <w:pPr>
              <w:pStyle w:val="Compact"/>
              <w:jc w:val="left"/>
            </w:pPr>
            <m:oMath>
              <m:r>
                <m:t>7.4</m:t>
              </m:r>
              <m:r>
                <m:rPr>
                  <m:nor/>
                  <m:sty m:val="p"/>
                </m:rPr>
                <m:t>e-</m:t>
              </m:r>
              <m:r>
                <m:t>05</m:t>
              </m:r>
            </m:oMath>
            <w:r>
              <w:t xml:space="preserve"> </w:t>
            </w:r>
            <w:r>
              <w:t xml:space="preserve">***</w:t>
            </w:r>
          </w:p>
        </w:tc>
      </w:tr>
      <w:tr>
        <w:tc>
          <w:tcPr/>
          <w:p>
            <w:pPr>
              <w:pStyle w:val="Compact"/>
              <w:jc w:val="left"/>
            </w:pPr>
            <w:r>
              <w:t xml:space="preserve">VAT</w:t>
            </w:r>
          </w:p>
        </w:tc>
        <w:tc>
          <w:tcPr/>
          <w:p>
            <w:pPr>
              <w:pStyle w:val="Compact"/>
              <w:jc w:val="left"/>
            </w:pPr>
            <m:oMath>
              <m:r>
                <m:t>0.1006</m:t>
              </m:r>
            </m:oMath>
          </w:p>
        </w:tc>
        <w:tc>
          <w:tcPr/>
          <w:p>
            <w:pPr>
              <w:pStyle w:val="Compact"/>
              <w:jc w:val="left"/>
            </w:pPr>
            <m:oMath>
              <m:r>
                <m:t>9.71</m:t>
              </m:r>
            </m:oMath>
          </w:p>
        </w:tc>
        <w:tc>
          <w:tcPr/>
          <w:p>
            <w:pPr>
              <w:pStyle w:val="Compact"/>
              <w:jc w:val="left"/>
            </w:pPr>
            <m:oMath>
              <m:r>
                <m:rPr>
                  <m:sty m:val="p"/>
                </m:rPr>
                <m:t>&lt;</m:t>
              </m:r>
              <m:r>
                <m:t>2</m:t>
              </m:r>
              <m:r>
                <m:rPr>
                  <m:nor/>
                  <m:sty m:val="p"/>
                </m:rPr>
                <m:t>e-</m:t>
              </m:r>
              <m:r>
                <m:t>16</m:t>
              </m:r>
            </m:oMath>
            <w:r>
              <w:t xml:space="preserve"> </w:t>
            </w:r>
            <w:r>
              <w:t xml:space="preserve">***</w:t>
            </w:r>
          </w:p>
        </w:tc>
      </w:tr>
    </w:tbl>
    <w:p>
      <w:pPr>
        <w:pStyle w:val="BodyText"/>
      </w:pPr>
      <w:r>
        <w:t xml:space="preserve">Stationarity diagnostics: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Series</w:t>
            </w:r>
          </w:p>
        </w:tc>
        <w:tc>
          <w:tcPr/>
          <w:p>
            <w:pPr>
              <w:pStyle w:val="Compact"/>
              <w:jc w:val="left"/>
            </w:pPr>
            <w:r>
              <w:t xml:space="preserve">Test</w:t>
            </w:r>
          </w:p>
        </w:tc>
        <w:tc>
          <w:tcPr/>
          <w:p>
            <w:pPr>
              <w:pStyle w:val="Compact"/>
              <w:jc w:val="left"/>
            </w:pPr>
            <w:r>
              <w:t xml:space="preserve">Statistic</w:t>
            </w:r>
          </w:p>
        </w:tc>
        <w:tc>
          <w:tcPr/>
          <w:p>
            <w:pPr>
              <w:pStyle w:val="Compact"/>
              <w:jc w:val="left"/>
            </w:pPr>
            <w:r>
              <w:t xml:space="preserve">Decision</w:t>
            </w:r>
          </w:p>
        </w:tc>
      </w:tr>
      <w:tr>
        <w:tc>
          <w:tcPr/>
          <w:p>
            <w:pPr>
              <w:pStyle w:val="Compact"/>
              <w:jc w:val="left"/>
            </w:pPr>
            <m:oMath>
              <m:r>
                <m:rPr>
                  <m:sty m:val="p"/>
                </m:rPr>
                <m:t>ln</m:t>
              </m:r>
              <m:d>
                <m:dPr>
                  <m:begChr m:val="("/>
                  <m:endChr m:val=")"/>
                  <m:sepChr m:val=""/>
                  <m:grow/>
                </m:dPr>
                <m:e>
                  <m:r>
                    <m:rPr>
                      <m:nor/>
                      <m:sty m:val="p"/>
                    </m:rPr>
                    <m:t>TAX</m:t>
                  </m:r>
                </m:e>
              </m:d>
            </m:oMath>
            <w:r>
              <w:t xml:space="preserve"> </w:t>
            </w:r>
            <w:r>
              <w:t xml:space="preserve">level</w:t>
            </w:r>
          </w:p>
        </w:tc>
        <w:tc>
          <w:tcPr/>
          <w:p>
            <w:pPr>
              <w:pStyle w:val="Compact"/>
              <w:jc w:val="left"/>
            </w:pPr>
            <w:r>
              <w:t xml:space="preserve">ADF (aug 0, BG clean)</w:t>
            </w:r>
          </w:p>
        </w:tc>
        <w:tc>
          <w:tcPr/>
          <w:p>
            <w:pPr>
              <w:pStyle w:val="Compact"/>
              <w:jc w:val="left"/>
            </w:pPr>
            <m:oMath>
              <m:r>
                <m:rPr>
                  <m:sty m:val="p"/>
                </m:rPr>
                <m:t>−</m:t>
              </m:r>
              <m:r>
                <m:t>3.40</m:t>
              </m:r>
            </m:oMath>
            <w:r>
              <w:t xml:space="preserve">,</w:t>
            </w:r>
            <w:r>
              <w:t xml:space="preserve"> </w:t>
            </w:r>
            <m:oMath>
              <m:r>
                <m:t>p</m:t>
              </m:r>
              <m:r>
                <m:rPr>
                  <m:sty m:val="p"/>
                </m:rPr>
                <m:t>=</m:t>
              </m:r>
              <m:r>
                <m:t>0.01</m:t>
              </m:r>
            </m:oMath>
          </w:p>
        </w:tc>
        <w:tc>
          <w:tcPr/>
          <w:p>
            <w:pPr>
              <w:pStyle w:val="Compact"/>
              <w:jc w:val="left"/>
            </w:pPr>
            <w:r>
              <w:t xml:space="preserve">reject unit root →</w:t>
            </w:r>
            <w:r>
              <w:t xml:space="preserve"> </w:t>
            </w:r>
            <m:oMath>
              <m:r>
                <m:t>I</m:t>
              </m:r>
              <m:d>
                <m:dPr>
                  <m:begChr m:val="("/>
                  <m:endChr m:val=")"/>
                  <m:sepChr m:val=""/>
                  <m:grow/>
                </m:dPr>
                <m:e>
                  <m:r>
                    <m:t>0</m:t>
                  </m:r>
                </m:e>
              </m:d>
            </m:oMath>
          </w:p>
        </w:tc>
      </w:tr>
      <w:tr>
        <w:tc>
          <w:tcPr/>
          <w:p>
            <w:pPr>
              <w:pStyle w:val="Compact"/>
              <w:jc w:val="left"/>
            </w:pPr>
            <m:oMath>
              <m:r>
                <m:t>Δ</m:t>
              </m:r>
              <m:r>
                <m:rPr>
                  <m:sty m:val="p"/>
                </m:rPr>
                <m:t>ln</m:t>
              </m:r>
              <m:d>
                <m:dPr>
                  <m:begChr m:val="("/>
                  <m:endChr m:val=")"/>
                  <m:sepChr m:val=""/>
                  <m:grow/>
                </m:dPr>
                <m:e>
                  <m:r>
                    <m:rPr>
                      <m:nor/>
                      <m:sty m:val="p"/>
                    </m:rPr>
                    <m:t>TAX</m:t>
                  </m:r>
                </m:e>
              </m:d>
            </m:oMath>
          </w:p>
        </w:tc>
        <w:tc>
          <w:tcPr/>
          <w:p>
            <w:pPr>
              <w:pStyle w:val="Compact"/>
              <w:jc w:val="left"/>
            </w:pPr>
            <w:r>
              <w:t xml:space="preserve">ADF</w:t>
            </w:r>
          </w:p>
        </w:tc>
        <w:tc>
          <w:tcPr/>
          <w:p>
            <w:pPr>
              <w:pStyle w:val="Compact"/>
              <w:jc w:val="left"/>
            </w:pPr>
            <m:oMath>
              <m:r>
                <m:rPr>
                  <m:sty m:val="p"/>
                </m:rPr>
                <m:t>−</m:t>
              </m:r>
              <m:r>
                <m:t>9.27</m:t>
              </m:r>
            </m:oMath>
            <w:r>
              <w:t xml:space="preserve">,</w:t>
            </w:r>
            <w:r>
              <w:t xml:space="preserve"> </w:t>
            </w:r>
            <m:oMath>
              <m:r>
                <m:t>p</m:t>
              </m:r>
              <m:r>
                <m:rPr>
                  <m:sty m:val="p"/>
                </m:rPr>
                <m:t>=</m:t>
              </m:r>
              <m:r>
                <m:t>0.01</m:t>
              </m:r>
            </m:oMath>
          </w:p>
        </w:tc>
        <w:tc>
          <w:tcPr/>
          <w:p>
            <w:pPr>
              <w:pStyle w:val="Compact"/>
              <w:jc w:val="left"/>
            </w:pPr>
            <w:r>
              <w:t xml:space="preserve">stationary</w:t>
            </w:r>
          </w:p>
        </w:tc>
      </w:tr>
      <w:tr>
        <w:tc>
          <w:tcPr/>
          <w:p>
            <w:pPr>
              <w:pStyle w:val="Compact"/>
              <w:jc w:val="left"/>
            </w:pPr>
            <w:r>
              <w:t xml:space="preserve">VAT</w:t>
            </w:r>
          </w:p>
        </w:tc>
        <w:tc>
          <w:tcPr/>
          <w:p>
            <w:pPr>
              <w:pStyle w:val="Compact"/>
              <w:jc w:val="left"/>
            </w:pPr>
            <w:r>
              <w:t xml:space="preserve">KPSS (</w:t>
            </w:r>
            <m:oMath>
              <m:sSub>
                <m:e>
                  <m:r>
                    <m:t>H</m:t>
                  </m:r>
                </m:e>
                <m:sub>
                  <m:r>
                    <m:t>0</m:t>
                  </m:r>
                </m:sub>
              </m:sSub>
            </m:oMath>
            <w:r>
              <w:t xml:space="preserve">: stationary)</w:t>
            </w:r>
          </w:p>
        </w:tc>
        <w:tc>
          <w:tcPr/>
          <w:p>
            <w:pPr>
              <w:pStyle w:val="Compact"/>
              <w:jc w:val="left"/>
            </w:pPr>
            <m:oMath>
              <m:r>
                <m:t>0.0597</m:t>
              </m:r>
              <m:r>
                <m:rPr>
                  <m:sty m:val="p"/>
                </m:rPr>
                <m:t>&lt;</m:t>
              </m:r>
              <m:r>
                <m:t>0.463</m:t>
              </m:r>
            </m:oMath>
          </w:p>
        </w:tc>
        <w:tc>
          <w:tcPr/>
          <w:p>
            <w:pPr>
              <w:pStyle w:val="Compact"/>
              <w:jc w:val="left"/>
            </w:pPr>
            <w:r>
              <w:t xml:space="preserve">fail to reject →</w:t>
            </w:r>
            <w:r>
              <w:t xml:space="preserve"> </w:t>
            </w:r>
            <m:oMath>
              <m:r>
                <m:t>I</m:t>
              </m:r>
              <m:d>
                <m:dPr>
                  <m:begChr m:val="("/>
                  <m:endChr m:val=")"/>
                  <m:sepChr m:val=""/>
                  <m:grow/>
                </m:dPr>
                <m:e>
                  <m:r>
                    <m:t>0</m:t>
                  </m:r>
                </m:e>
              </m:d>
            </m:oMath>
          </w:p>
        </w:tc>
      </w:tr>
      <w:tr>
        <w:tc>
          <w:tcPr/>
          <w:p>
            <w:pPr>
              <w:pStyle w:val="Compact"/>
              <w:jc w:val="left"/>
            </w:pPr>
            <m:oMath>
              <m:r>
                <m:t>Δ</m:t>
              </m:r>
            </m:oMath>
            <w:r>
              <w:t xml:space="preserve">VAT</w:t>
            </w:r>
          </w:p>
        </w:tc>
        <w:tc>
          <w:tcPr/>
          <w:p>
            <w:pPr>
              <w:pStyle w:val="Compact"/>
              <w:jc w:val="left"/>
            </w:pPr>
            <w:r>
              <w:t xml:space="preserve">KPSS</w:t>
            </w:r>
          </w:p>
        </w:tc>
        <w:tc>
          <w:tcPr/>
          <w:p>
            <w:pPr>
              <w:pStyle w:val="Compact"/>
              <w:jc w:val="left"/>
            </w:pPr>
            <m:oMath>
              <m:r>
                <m:t>0.0309</m:t>
              </m:r>
              <m:r>
                <m:rPr>
                  <m:sty m:val="p"/>
                </m:rPr>
                <m:t>&lt;</m:t>
              </m:r>
              <m:r>
                <m:t>0.463</m:t>
              </m:r>
            </m:oMath>
          </w:p>
        </w:tc>
        <w:tc>
          <w:tcPr/>
          <w:p>
            <w:pPr>
              <w:pStyle w:val="Compact"/>
              <w:jc w:val="left"/>
            </w:pPr>
            <w:r>
              <w:t xml:space="preserve">stationary</w:t>
            </w:r>
          </w:p>
        </w:tc>
      </w:tr>
    </w:tbl>
    <w:bookmarkStart w:id="26" w:name="X157bef0889e10f0f6f4a22b4e4861d6ae74481e"/>
    <w:p>
      <w:pPr>
        <w:pStyle w:val="Heading3"/>
      </w:pPr>
      <w:r>
        <w:t xml:space="preserve">a) Economic (not econometric) reason for an autoregressive model</w:t>
      </w:r>
    </w:p>
    <w:p>
      <w:pPr>
        <w:pStyle w:val="FirstParagraph"/>
      </w:pPr>
      <w:r>
        <w:t xml:space="preserve">Tax revenues are</w:t>
      </w:r>
      <w:r>
        <w:t xml:space="preserve"> </w:t>
      </w:r>
      <w:r>
        <w:rPr>
          <w:bCs/>
          <w:b/>
        </w:rPr>
        <w:t xml:space="preserve">persistent / inertial</w:t>
      </w:r>
      <w:r>
        <w:t xml:space="preserve">: the tax base (incomes, consumption, the stock of registered taxpayers, ongoing economic activity) carries over from one period to the next, so this period’s revenue depends mechanically on last period’s. There are institutional lags — collection schedules, arrears, gradual behavioural adjustment to rates. Economically, revenue has</w:t>
      </w:r>
      <w:r>
        <w:t xml:space="preserve"> </w:t>
      </w:r>
      <w:r>
        <w:rPr>
          <w:bCs/>
          <w:b/>
        </w:rPr>
        <w:t xml:space="preserve">momentum</w:t>
      </w:r>
      <w:r>
        <w:t xml:space="preserve">, which the lagged dependent variable captures; a pure distributed-lag model in VAT alone would miss this self-perpetuating dynamic.</w:t>
      </w:r>
    </w:p>
    <w:bookmarkEnd w:id="26"/>
    <w:bookmarkStart w:id="27" w:name="b-keep-or-drop-the-lagged-taxes"/>
    <w:p>
      <w:pPr>
        <w:pStyle w:val="Heading3"/>
      </w:pPr>
      <w:r>
        <w:t xml:space="preserve">b) Keep or drop the lagged taxes?</w:t>
      </w:r>
    </w:p>
    <w:p>
      <w:pPr>
        <w:pStyle w:val="FirstParagraph"/>
      </w:pPr>
      <w:r>
        <w:rPr>
          <w:bCs/>
          <w:b/>
        </w:rPr>
        <w:t xml:space="preserve">Keep them.</w:t>
      </w:r>
      <w:r>
        <w:t xml:space="preserve"> </w:t>
      </w:r>
      <m:oMath>
        <m:r>
          <m:rPr>
            <m:sty m:val="p"/>
          </m:rPr>
          <m:t>ln</m:t>
        </m:r>
        <m:sSub>
          <m:e>
            <m:d>
              <m:dPr>
                <m:begChr m:val="("/>
                <m:endChr m:val=")"/>
                <m:sepChr m:val=""/>
                <m:grow/>
              </m:dPr>
              <m:e>
                <m:r>
                  <m:rPr>
                    <m:nor/>
                    <m:sty m:val="p"/>
                  </m:rPr>
                  <m:t>TAX</m:t>
                </m:r>
              </m:e>
            </m:d>
          </m:e>
          <m:sub>
            <m:r>
              <m:t>t</m:t>
            </m:r>
            <m:r>
              <m:rPr>
                <m:sty m:val="p"/>
              </m:rPr>
              <m:t>−</m:t>
            </m:r>
            <m:r>
              <m:t>1</m:t>
            </m:r>
          </m:sub>
        </m:sSub>
      </m:oMath>
      <w:r>
        <w:t xml:space="preserve"> </w:t>
      </w:r>
      <w:r>
        <w:t xml:space="preserve">has coefficient</w:t>
      </w:r>
      <w:r>
        <w:t xml:space="preserve"> </w:t>
      </w:r>
      <m:oMath>
        <m:r>
          <m:t>0.401</m:t>
        </m:r>
      </m:oMath>
      <w:r>
        <w:t xml:space="preserve"> </w:t>
      </w:r>
      <w:r>
        <w:t xml:space="preserve">with</w:t>
      </w:r>
      <w:r>
        <w:t xml:space="preserve"> </w:t>
      </w:r>
      <m:oMath>
        <m:r>
          <m:t>t</m:t>
        </m:r>
        <m:r>
          <m:rPr>
            <m:sty m:val="p"/>
          </m:rPr>
          <m:t>=</m:t>
        </m:r>
        <m:r>
          <m:t>3.96</m:t>
        </m:r>
      </m:oMath>
      <w:r>
        <w:t xml:space="preserve">,</w:t>
      </w:r>
      <w:r>
        <w:t xml:space="preserve"> </w:t>
      </w:r>
      <m:oMath>
        <m:r>
          <m:t>p</m:t>
        </m:r>
        <m:r>
          <m:rPr>
            <m:sty m:val="p"/>
          </m:rPr>
          <m:t>=</m:t>
        </m:r>
        <m:r>
          <m:t>7.4</m:t>
        </m:r>
        <m:r>
          <m:rPr>
            <m:nor/>
            <m:sty m:val="p"/>
          </m:rPr>
          <m:t>e-</m:t>
        </m:r>
        <m:r>
          <m:t>05</m:t>
        </m:r>
      </m:oMath>
      <w:r>
        <w:t xml:space="preserve"> </w:t>
      </w:r>
      <w:r>
        <w:t xml:space="preserve">—</w:t>
      </w:r>
      <w:r>
        <w:t xml:space="preserve"> </w:t>
      </w:r>
      <w:r>
        <w:rPr>
          <w:bCs/>
          <w:b/>
        </w:rPr>
        <w:t xml:space="preserve">highly significant</w:t>
      </w:r>
      <w:r>
        <w:t xml:space="preserve">. Dropping a significant lagged dependent variable would omit the persistence dynamics and almost certainly reintroduce serial correlation in the residuals, biasing inference.</w:t>
      </w:r>
    </w:p>
    <w:bookmarkEnd w:id="27"/>
    <w:bookmarkStart w:id="28" w:name="c-are-lntexttax-and-vat-cointegrated"/>
    <w:p>
      <w:pPr>
        <w:pStyle w:val="Heading3"/>
      </w:pPr>
      <w:r>
        <w:t xml:space="preserve">c) Are</w:t>
      </w:r>
      <w:r>
        <w:t xml:space="preserve"> </w:t>
      </w:r>
      <m:oMath>
        <m:r>
          <m:rPr>
            <m:sty m:val="p"/>
          </m:rPr>
          <m:t>ln</m:t>
        </m:r>
        <m:d>
          <m:dPr>
            <m:begChr m:val="("/>
            <m:endChr m:val=")"/>
            <m:sepChr m:val=""/>
            <m:grow/>
          </m:dPr>
          <m:e>
            <m:r>
              <m:rPr>
                <m:nor/>
                <m:sty m:val="p"/>
              </m:rPr>
              <m:t>TAX</m:t>
            </m:r>
          </m:e>
        </m:d>
      </m:oMath>
      <w:r>
        <w:t xml:space="preserve"> </w:t>
      </w:r>
      <w:r>
        <w:t xml:space="preserve">and VAT cointegrated?</w:t>
      </w:r>
    </w:p>
    <w:p>
      <w:pPr>
        <w:pStyle w:val="FirstParagraph"/>
      </w:pPr>
      <w:r>
        <w:rPr>
          <w:bCs/>
          <w:b/>
        </w:rPr>
        <w:t xml:space="preserve">No — the question does not even arise.</w:t>
      </w:r>
      <w:r>
        <w:t xml:space="preserve"> </w:t>
      </w:r>
      <w:r>
        <w:t xml:space="preserve">Cointegration is a property of</w:t>
      </w:r>
      <w:r>
        <w:t xml:space="preserve"> </w:t>
      </w:r>
      <m:oMath>
        <m:r>
          <m:t>I</m:t>
        </m:r>
        <m:d>
          <m:dPr>
            <m:begChr m:val="("/>
            <m:endChr m:val=")"/>
            <m:sepChr m:val=""/>
            <m:grow/>
          </m:dPr>
          <m:e>
            <m:r>
              <m:t>1</m:t>
            </m:r>
          </m:e>
        </m:d>
      </m:oMath>
      <w:r>
        <w:rPr>
          <w:bCs/>
          <w:b/>
        </w:rPr>
        <w:t xml:space="preserve"> </w:t>
      </w:r>
      <w:r>
        <w:rPr>
          <w:bCs/>
          <w:b/>
        </w:rPr>
        <w:t xml:space="preserve">(non-stationary)</w:t>
      </w:r>
      <w:r>
        <w:t xml:space="preserve"> </w:t>
      </w:r>
      <w:r>
        <w:t xml:space="preserve">variables: it asks whether a linear combination of integrated series is stationary. Here</w:t>
      </w:r>
      <w:r>
        <w:t xml:space="preserve"> </w:t>
      </w:r>
      <w:r>
        <w:rPr>
          <w:bCs/>
          <w:b/>
        </w:rPr>
        <w:t xml:space="preserve">both</w:t>
      </w:r>
      <w:r>
        <w:t xml:space="preserve"> </w:t>
      </w:r>
      <w:r>
        <w:t xml:space="preserve">series are</w:t>
      </w:r>
      <w:r>
        <w:t xml:space="preserve"> </w:t>
      </w:r>
      <m:oMath>
        <m:r>
          <m:t>I</m:t>
        </m:r>
        <m:d>
          <m:dPr>
            <m:begChr m:val="("/>
            <m:endChr m:val=")"/>
            <m:sepChr m:val=""/>
            <m:grow/>
          </m:dPr>
          <m:e>
            <m:r>
              <m:t>0</m:t>
            </m:r>
          </m:e>
        </m:d>
      </m:oMath>
      <w:r>
        <w:t xml:space="preserve"> </w:t>
      </w:r>
      <w:r>
        <w:t xml:space="preserve">—</w:t>
      </w:r>
      <w:r>
        <w:t xml:space="preserve"> </w:t>
      </w:r>
      <m:oMath>
        <m:r>
          <m:rPr>
            <m:sty m:val="p"/>
          </m:rPr>
          <m:t>ln</m:t>
        </m:r>
        <m:d>
          <m:dPr>
            <m:begChr m:val="("/>
            <m:endChr m:val=")"/>
            <m:sepChr m:val=""/>
            <m:grow/>
          </m:dPr>
          <m:e>
            <m:r>
              <m:rPr>
                <m:nor/>
                <m:sty m:val="p"/>
              </m:rPr>
              <m:t>TAX</m:t>
            </m:r>
          </m:e>
        </m:d>
      </m:oMath>
      <w:r>
        <w:t xml:space="preserve"> </w:t>
      </w:r>
      <w:r>
        <w:t xml:space="preserve">is stationary in levels (ADF rejects the unit root,</w:t>
      </w:r>
      <w:r>
        <w:t xml:space="preserve"> </w:t>
      </w:r>
      <m:oMath>
        <m:r>
          <m:rPr>
            <m:sty m:val="p"/>
          </m:rPr>
          <m:t>−</m:t>
        </m:r>
        <m:r>
          <m:t>3.40</m:t>
        </m:r>
      </m:oMath>
      <w:r>
        <w:t xml:space="preserve">,</w:t>
      </w:r>
      <w:r>
        <w:t xml:space="preserve"> </w:t>
      </w:r>
      <m:oMath>
        <m:r>
          <m:t>p</m:t>
        </m:r>
        <m:r>
          <m:rPr>
            <m:sty m:val="p"/>
          </m:rPr>
          <m:t>=</m:t>
        </m:r>
        <m:r>
          <m:t>0.01</m:t>
        </m:r>
      </m:oMath>
      <w:r>
        <w:t xml:space="preserve">) and VAT is stationary (KPSS fails to reject stationarity). Two already-stationary series cannot be cointegrated; there is no stochastic trend to share. The regression is simply a standard (balanced, stationary) ARDL and is valid as estimated — no cointegration/ECM machinery is needed.</w:t>
      </w:r>
    </w:p>
    <w:bookmarkEnd w:id="28"/>
    <w:bookmarkStart w:id="29" w:name="Xe6aa2fca2a97efaafc03a0dde19ac60da309a78"/>
    <w:p>
      <w:pPr>
        <w:pStyle w:val="Heading3"/>
      </w:pPr>
      <w:r>
        <w:t xml:space="preserve">d) Steady-state value of</w:t>
      </w:r>
      <w:r>
        <w:t xml:space="preserve"> </w:t>
      </w:r>
      <m:oMath>
        <m:r>
          <m:rPr>
            <m:sty m:val="p"/>
          </m:rPr>
          <m:t>ln</m:t>
        </m:r>
        <m:d>
          <m:dPr>
            <m:begChr m:val="("/>
            <m:endChr m:val=")"/>
            <m:sepChr m:val=""/>
            <m:grow/>
          </m:dPr>
          <m:e>
            <m:r>
              <m:rPr>
                <m:nor/>
                <m:sty m:val="p"/>
              </m:rPr>
              <m:t>TAX</m:t>
            </m:r>
          </m:e>
        </m:d>
      </m:oMath>
      <w:r>
        <w:t xml:space="preserve"> </w:t>
      </w:r>
      <w:r>
        <w:t xml:space="preserve">when</w:t>
      </w:r>
      <w:r>
        <w:t xml:space="preserve"> </w:t>
      </w:r>
      <m:oMath>
        <m:sSup>
          <m:e>
            <m:r>
              <m:rPr>
                <m:nor/>
                <m:sty m:val="p"/>
              </m:rPr>
              <m:t>VAT</m:t>
            </m:r>
          </m:e>
          <m:sup>
            <m:r>
              <m:rPr>
                <m:sty m:val="p"/>
              </m:rPr>
              <m:t>*</m:t>
            </m:r>
          </m:sup>
        </m:sSup>
        <m:r>
          <m:rPr>
            <m:sty m:val="p"/>
          </m:rPr>
          <m:t>=</m:t>
        </m:r>
        <m:r>
          <m:t>10</m:t>
        </m:r>
      </m:oMath>
    </w:p>
    <w:p>
      <w:pPr>
        <w:pStyle w:val="FirstParagraph"/>
      </w:pPr>
      <w:r>
        <w:t xml:space="preserve">In steady state</w:t>
      </w:r>
      <w:r>
        <w:t xml:space="preserve"> </w:t>
      </w:r>
      <m:oMath>
        <m:r>
          <m:rPr>
            <m:sty m:val="p"/>
          </m:rPr>
          <m:t>ln</m:t>
        </m:r>
        <m:sSub>
          <m:e>
            <m:d>
              <m:dPr>
                <m:begChr m:val="("/>
                <m:endChr m:val=")"/>
                <m:sepChr m:val=""/>
                <m:grow/>
              </m:dPr>
              <m:e>
                <m:r>
                  <m:rPr>
                    <m:nor/>
                    <m:sty m:val="p"/>
                  </m:rPr>
                  <m:t>TAX</m:t>
                </m:r>
              </m:e>
            </m:d>
          </m:e>
          <m:sub>
            <m:r>
              <m:t>t</m:t>
            </m:r>
          </m:sub>
        </m:sSub>
        <m:r>
          <m:rPr>
            <m:sty m:val="p"/>
          </m:rPr>
          <m:t>=</m:t>
        </m:r>
        <m:r>
          <m:rPr>
            <m:sty m:val="p"/>
          </m:rPr>
          <m:t>ln</m:t>
        </m:r>
        <m:sSub>
          <m:e>
            <m:d>
              <m:dPr>
                <m:begChr m:val="("/>
                <m:endChr m:val=")"/>
                <m:sepChr m:val=""/>
                <m:grow/>
              </m:dPr>
              <m:e>
                <m:r>
                  <m:rPr>
                    <m:nor/>
                    <m:sty m:val="p"/>
                  </m:rPr>
                  <m:t>TAX</m:t>
                </m:r>
              </m:e>
            </m:d>
          </m:e>
          <m:sub>
            <m:r>
              <m:t>t</m:t>
            </m:r>
            <m:r>
              <m:rPr>
                <m:sty m:val="p"/>
              </m:rPr>
              <m:t>−</m:t>
            </m:r>
            <m:r>
              <m:t>1</m:t>
            </m:r>
          </m:sub>
        </m:sSub>
        <m:r>
          <m:rPr>
            <m:sty m:val="p"/>
          </m:rPr>
          <m:t>=</m:t>
        </m:r>
        <m:r>
          <m:rPr>
            <m:sty m:val="p"/>
          </m:rPr>
          <m:t>ln</m:t>
        </m:r>
        <m:sSup>
          <m:e>
            <m:d>
              <m:dPr>
                <m:begChr m:val="("/>
                <m:endChr m:val=")"/>
                <m:sepChr m:val=""/>
                <m:grow/>
              </m:dPr>
              <m:e>
                <m:r>
                  <m:rPr>
                    <m:nor/>
                    <m:sty m:val="p"/>
                  </m:rPr>
                  <m:t>TAX</m:t>
                </m:r>
              </m:e>
            </m:d>
          </m:e>
          <m:sup>
            <m:r>
              <m:rPr>
                <m:sty m:val="p"/>
              </m:rPr>
              <m:t>*</m:t>
            </m:r>
          </m:sup>
        </m:sSup>
      </m:oMath>
      <w:r>
        <w:t xml:space="preserve">, so:</w:t>
      </w:r>
    </w:p>
    <w:p>
      <w:pPr>
        <w:pStyle w:val="BodyText"/>
      </w:pPr>
      <m:oMathPara>
        <m:oMathParaPr>
          <m:jc m:val="center"/>
        </m:oMathParaPr>
        <m:oMath>
          <m:r>
            <m:rPr>
              <m:sty m:val="p"/>
            </m:rPr>
            <m:t>ln</m:t>
          </m:r>
          <m:sSup>
            <m:e>
              <m:d>
                <m:dPr>
                  <m:begChr m:val="("/>
                  <m:endChr m:val=")"/>
                  <m:sepChr m:val=""/>
                  <m:grow/>
                </m:dPr>
                <m:e>
                  <m:r>
                    <m:rPr>
                      <m:nor/>
                      <m:sty m:val="p"/>
                    </m:rPr>
                    <m:t>TAX</m:t>
                  </m:r>
                </m:e>
              </m:d>
            </m:e>
            <m:sup>
              <m:r>
                <m:rPr>
                  <m:sty m:val="p"/>
                </m:rPr>
                <m:t>*</m:t>
              </m:r>
            </m:sup>
          </m:sSup>
          <m:r>
            <m:rPr>
              <m:sty m:val="p"/>
            </m:rPr>
            <m:t>=</m:t>
          </m:r>
          <m:f>
            <m:fPr>
              <m:type m:val="bar"/>
            </m:fPr>
            <m:num>
              <m:sSub>
                <m:e>
                  <m:r>
                    <m:t>β</m:t>
                  </m:r>
                </m:e>
                <m:sub>
                  <m:r>
                    <m:t>0</m:t>
                  </m:r>
                </m:sub>
              </m:sSub>
              <m:r>
                <m:rPr>
                  <m:sty m:val="p"/>
                </m:rPr>
                <m:t>+</m:t>
              </m:r>
              <m:sSub>
                <m:e>
                  <m:r>
                    <m:t>β</m:t>
                  </m:r>
                </m:e>
                <m:sub>
                  <m:r>
                    <m:rPr>
                      <m:nor/>
                      <m:sty m:val="p"/>
                    </m:rPr>
                    <m:t>VAT</m:t>
                  </m:r>
                </m:sub>
              </m:sSub>
              <m:r>
                <m:t> </m:t>
              </m:r>
              <m:sSup>
                <m:e>
                  <m:r>
                    <m:rPr>
                      <m:nor/>
                      <m:sty m:val="p"/>
                    </m:rPr>
                    <m:t>VAT</m:t>
                  </m:r>
                </m:e>
                <m:sup>
                  <m:r>
                    <m:rPr>
                      <m:sty m:val="p"/>
                    </m:rPr>
                    <m:t>*</m:t>
                  </m:r>
                </m:sup>
              </m:sSup>
            </m:num>
            <m:den>
              <m:r>
                <m:t>1</m:t>
              </m:r>
              <m:r>
                <m:rPr>
                  <m:sty m:val="p"/>
                </m:rPr>
                <m:t>−</m:t>
              </m:r>
              <m:r>
                <m:t>ρ</m:t>
              </m:r>
            </m:den>
          </m:f>
          <m:r>
            <m:rPr>
              <m:sty m:val="p"/>
            </m:rPr>
            <m:t>=</m:t>
          </m:r>
          <m:f>
            <m:fPr>
              <m:type m:val="bar"/>
            </m:fPr>
            <m:num>
              <m:r>
                <m:t>2.0391</m:t>
              </m:r>
              <m:r>
                <m:rPr>
                  <m:sty m:val="p"/>
                </m:rPr>
                <m:t>+</m:t>
              </m:r>
              <m:r>
                <m:t>0.1006</m:t>
              </m:r>
              <m:r>
                <m:rPr>
                  <m:sty m:val="p"/>
                </m:rPr>
                <m:t>×</m:t>
              </m:r>
              <m:r>
                <m:t>10</m:t>
              </m:r>
            </m:num>
            <m:den>
              <m:r>
                <m:t>1</m:t>
              </m:r>
              <m:r>
                <m:rPr>
                  <m:sty m:val="p"/>
                </m:rPr>
                <m:t>−</m:t>
              </m:r>
              <m:r>
                <m:t>0.4013</m:t>
              </m:r>
            </m:den>
          </m:f>
          <m:r>
            <m:rPr>
              <m:sty m:val="p"/>
            </m:rPr>
            <m:t>=</m:t>
          </m:r>
          <m:f>
            <m:fPr>
              <m:type m:val="bar"/>
            </m:fPr>
            <m:num>
              <m:r>
                <m:t>3.0452</m:t>
              </m:r>
            </m:num>
            <m:den>
              <m:r>
                <m:t>0.5987</m:t>
              </m:r>
            </m:den>
          </m:f>
          <m:r>
            <m:rPr>
              <m:sty m:val="p"/>
            </m:rPr>
            <m:t>≈</m:t>
          </m:r>
          <m:r>
            <m:rPr>
              <m:sty m:val="b"/>
            </m:rPr>
            <m:t>5.087</m:t>
          </m:r>
          <m:r>
            <m:rPr>
              <m:sty m:val="p"/>
            </m:rPr>
            <m:t>.</m:t>
          </m:r>
        </m:oMath>
      </m:oMathPara>
    </w:p>
    <w:p>
      <w:pPr>
        <w:pStyle w:val="FirstParagraph"/>
      </w:pPr>
      <w:r>
        <w:t xml:space="preserve">Equilibrium log-tax-revenue is about</w:t>
      </w:r>
      <w:r>
        <w:t xml:space="preserve"> </w:t>
      </w:r>
      <m:oMath>
        <m:r>
          <m:t>5.09</m:t>
        </m:r>
      </m:oMath>
      <w:r>
        <w:t xml:space="preserve"> </w:t>
      </w:r>
      <w:r>
        <w:t xml:space="preserve">(i.e. </w:t>
      </w:r>
      <m:oMath>
        <m:sSup>
          <m:e>
            <m:r>
              <m:rPr>
                <m:nor/>
                <m:sty m:val="p"/>
              </m:rPr>
              <m:t>TAX</m:t>
            </m:r>
          </m:e>
          <m:sup>
            <m:r>
              <m:rPr>
                <m:sty m:val="p"/>
              </m:rPr>
              <m:t>*</m:t>
            </m:r>
          </m:sup>
        </m:sSup>
        <m:r>
          <m:rPr>
            <m:sty m:val="p"/>
          </m:rPr>
          <m:t>=</m:t>
        </m:r>
        <m:sSup>
          <m:e>
            <m:r>
              <m:t>e</m:t>
            </m:r>
          </m:e>
          <m:sup>
            <m:r>
              <m:t>5.087</m:t>
            </m:r>
          </m:sup>
        </m:sSup>
        <m:r>
          <m:rPr>
            <m:sty m:val="p"/>
          </m:rPr>
          <m:t>≈</m:t>
        </m:r>
        <m:r>
          <m:t>162</m:t>
        </m:r>
      </m:oMath>
      <w:r>
        <w:t xml:space="preserve"> </w:t>
      </w:r>
      <w:r>
        <w:t xml:space="preserve">in the original units) when the VAT rate is fixed at</w:t>
      </w:r>
      <w:r>
        <w:t xml:space="preserve"> </w:t>
      </w:r>
      <m:oMath>
        <m:r>
          <m:t>10</m:t>
        </m:r>
      </m:oMath>
      <w:r>
        <w:t xml:space="preserve">.</w:t>
      </w:r>
    </w:p>
    <w:bookmarkEnd w:id="29"/>
    <w:bookmarkStart w:id="30" w:name="e-long-term-multiplier"/>
    <w:p>
      <w:pPr>
        <w:pStyle w:val="Heading3"/>
      </w:pPr>
      <w:r>
        <w:t xml:space="preserve">e) Long-term multiplier</w:t>
      </w:r>
    </w:p>
    <w:p>
      <w:pPr>
        <w:pStyle w:val="FirstParagraph"/>
      </w:pPr>
      <m:oMathPara>
        <m:oMathParaPr>
          <m:jc m:val="center"/>
        </m:oMathParaPr>
        <m:oMath>
          <m:r>
            <m:rPr>
              <m:nor/>
              <m:sty m:val="p"/>
            </m:rPr>
            <m:t>LR multiplier</m:t>
          </m:r>
          <m:r>
            <m:rPr>
              <m:sty m:val="p"/>
            </m:rPr>
            <m:t>=</m:t>
          </m:r>
          <m:f>
            <m:fPr>
              <m:type m:val="bar"/>
            </m:fPr>
            <m:num>
              <m:sSub>
                <m:e>
                  <m:r>
                    <m:t>β</m:t>
                  </m:r>
                </m:e>
                <m:sub>
                  <m:r>
                    <m:rPr>
                      <m:nor/>
                      <m:sty m:val="p"/>
                    </m:rPr>
                    <m:t>VAT</m:t>
                  </m:r>
                </m:sub>
              </m:sSub>
            </m:num>
            <m:den>
              <m:r>
                <m:t>1</m:t>
              </m:r>
              <m:r>
                <m:rPr>
                  <m:sty m:val="p"/>
                </m:rPr>
                <m:t>−</m:t>
              </m:r>
              <m:r>
                <m:t>ρ</m:t>
              </m:r>
            </m:den>
          </m:f>
          <m:r>
            <m:rPr>
              <m:sty m:val="p"/>
            </m:rPr>
            <m:t>=</m:t>
          </m:r>
          <m:f>
            <m:fPr>
              <m:type m:val="bar"/>
            </m:fPr>
            <m:num>
              <m:r>
                <m:t>0.1006</m:t>
              </m:r>
            </m:num>
            <m:den>
              <m:r>
                <m:t>0.5987</m:t>
              </m:r>
            </m:den>
          </m:f>
          <m:r>
            <m:rPr>
              <m:sty m:val="p"/>
            </m:rPr>
            <m:t>≈</m:t>
          </m:r>
          <m:r>
            <m:rPr>
              <m:sty m:val="b"/>
            </m:rPr>
            <m:t>0.168</m:t>
          </m:r>
          <m:r>
            <m:rPr>
              <m:sty m:val="p"/>
            </m:rPr>
            <m:t>.</m:t>
          </m:r>
        </m:oMath>
      </m:oMathPara>
    </w:p>
    <w:p>
      <w:pPr>
        <w:pStyle w:val="FirstParagraph"/>
      </w:pPr>
      <w:r>
        <w:rPr>
          <w:bCs/>
          <w:b/>
        </w:rPr>
        <w:t xml:space="preserve">Interpretation:</w:t>
      </w:r>
      <w:r>
        <w:t xml:space="preserve"> </w:t>
      </w:r>
      <w:r>
        <w:t xml:space="preserve">because the dependent variable is in logs and VAT is in levels, this is a long-run</w:t>
      </w:r>
      <w:r>
        <w:t xml:space="preserve"> </w:t>
      </w:r>
      <w:r>
        <w:rPr>
          <w:bCs/>
          <w:b/>
        </w:rPr>
        <w:t xml:space="preserve">semi-elasticity</w:t>
      </w:r>
      <w:r>
        <w:t xml:space="preserve">. A</w:t>
      </w:r>
      <w:r>
        <w:t xml:space="preserve"> </w:t>
      </w:r>
      <w:r>
        <w:rPr>
          <w:iCs/>
          <w:i/>
        </w:rPr>
        <w:t xml:space="preserve">permanent</w:t>
      </w:r>
      <w:r>
        <w:t xml:space="preserve"> </w:t>
      </w:r>
      <w:r>
        <w:t xml:space="preserve">one-unit (one-percentage-point) increase in the VAT rate raises</w:t>
      </w:r>
      <w:r>
        <w:t xml:space="preserve"> </w:t>
      </w:r>
      <m:oMath>
        <m:r>
          <m:rPr>
            <m:sty m:val="p"/>
          </m:rPr>
          <m:t>ln</m:t>
        </m:r>
        <m:d>
          <m:dPr>
            <m:begChr m:val="("/>
            <m:endChr m:val=")"/>
            <m:sepChr m:val=""/>
            <m:grow/>
          </m:dPr>
          <m:e>
            <m:r>
              <m:rPr>
                <m:nor/>
                <m:sty m:val="p"/>
              </m:rPr>
              <m:t>TAX</m:t>
            </m:r>
          </m:e>
        </m:d>
      </m:oMath>
      <w:r>
        <w:t xml:space="preserve"> </w:t>
      </w:r>
      <w:r>
        <w:t xml:space="preserve">by about</w:t>
      </w:r>
      <w:r>
        <w:t xml:space="preserve"> </w:t>
      </w:r>
      <m:oMath>
        <m:r>
          <m:t>0.168</m:t>
        </m:r>
      </m:oMath>
      <w:r>
        <w:t xml:space="preserve"> </w:t>
      </w:r>
      <w:r>
        <w:t xml:space="preserve">in the long run — i.e. roughly a</w:t>
      </w:r>
      <w:r>
        <w:t xml:space="preserve"> </w:t>
      </w:r>
      <m:oMath>
        <m:r>
          <m:t>16.8</m:t>
        </m:r>
        <m:r>
          <m:rPr>
            <m:sty m:val="p"/>
          </m:rPr>
          <m:t>%</m:t>
        </m:r>
      </m:oMath>
      <w:r>
        <w:rPr>
          <w:bCs/>
          <w:b/>
        </w:rPr>
        <w:t xml:space="preserve"> </w:t>
      </w:r>
      <w:r>
        <w:rPr>
          <w:bCs/>
          <w:b/>
        </w:rPr>
        <w:t xml:space="preserve">long-run increase in tax revenue</w:t>
      </w:r>
      <w:r>
        <w:t xml:space="preserve"> </w:t>
      </w:r>
      <w:r>
        <w:t xml:space="preserve">per extra point of VAT. (The short-run/impact effect is just</w:t>
      </w:r>
      <w:r>
        <w:t xml:space="preserve"> </w:t>
      </w:r>
      <m:oMath>
        <m:sSub>
          <m:e>
            <m:r>
              <m:t>β</m:t>
            </m:r>
          </m:e>
          <m:sub>
            <m:r>
              <m:rPr>
                <m:nor/>
                <m:sty m:val="p"/>
              </m:rPr>
              <m:t>VAT</m:t>
            </m:r>
          </m:sub>
        </m:sSub>
        <m:r>
          <m:rPr>
            <m:sty m:val="p"/>
          </m:rPr>
          <m:t>=</m:t>
        </m:r>
        <m:r>
          <m:t>0.101</m:t>
        </m:r>
      </m:oMath>
      <w:r>
        <w:t xml:space="preserve">, about</w:t>
      </w:r>
      <w:r>
        <w:t xml:space="preserve"> </w:t>
      </w:r>
      <m:oMath>
        <m:r>
          <m:t>10</m:t>
        </m:r>
        <m:r>
          <m:rPr>
            <m:sty m:val="p"/>
          </m:rPr>
          <m:t>%</m:t>
        </m:r>
      </m:oMath>
      <w:r>
        <w:t xml:space="preserve">; the rest accumulates through the persistence term.)</w:t>
      </w:r>
    </w:p>
    <w:p>
      <w:r>
        <w:pict>
          <v:rect style="width:0;height:1.5pt" o:hralign="center" o:hrstd="t" o:hr="t"/>
        </w:pict>
      </w:r>
    </w:p>
    <w:bookmarkEnd w:id="30"/>
    <w:bookmarkEnd w:id="31"/>
    <w:bookmarkStart w:id="38" w:name="X1a070d5ed55280f4c56e032c8774afdc5adeb95"/>
    <w:p>
      <w:pPr>
        <w:pStyle w:val="Heading2"/>
      </w:pPr>
      <w:r>
        <w:t xml:space="preserve">Exercise 3 (40%) — Logit: success of Himalayan expeditions (2019)</w:t>
      </w:r>
    </w:p>
    <w:p>
      <w:pPr>
        <w:pStyle w:val="FirstParagraph"/>
      </w:pPr>
      <w:r>
        <w:rPr>
          <w:rStyle w:val="VerbatimChar"/>
        </w:rPr>
        <w:t xml:space="preserve">glm(success ~ members + hired_staff + oxygen_used + month, family = binomial(link="logit"))</w:t>
      </w:r>
      <w:r>
        <w:t xml:space="preserve">. Null deviance</w:t>
      </w:r>
      <w:r>
        <w:t xml:space="preserve"> </w:t>
      </w:r>
      <m:oMath>
        <m:r>
          <m:t>182.59</m:t>
        </m:r>
      </m:oMath>
      <w:r>
        <w:t xml:space="preserve"> </w:t>
      </w:r>
      <w:r>
        <w:t xml:space="preserve">(168 df), residual deviance</w:t>
      </w:r>
      <w:r>
        <w:t xml:space="preserve"> </w:t>
      </w:r>
      <m:oMath>
        <m:r>
          <m:t>117.76</m:t>
        </m:r>
      </m:oMath>
      <w:r>
        <w:t xml:space="preserve"> </w:t>
      </w:r>
      <w:r>
        <w:t xml:space="preserve">(164 df), AIC</w:t>
      </w:r>
      <w:r>
        <w:t xml:space="preserve"> </w:t>
      </w:r>
      <m:oMath>
        <m:r>
          <m:t>127.76</m:t>
        </m:r>
      </m:oMath>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Variable</w:t>
            </w:r>
          </w:p>
        </w:tc>
        <w:tc>
          <w:tcPr/>
          <w:p>
            <w:pPr>
              <w:pStyle w:val="Compact"/>
              <w:jc w:val="left"/>
            </w:pPr>
            <w:r>
              <w:t xml:space="preserve">Coef.</w:t>
            </w:r>
          </w:p>
        </w:tc>
        <w:tc>
          <w:tcPr/>
          <w:p>
            <w:pPr>
              <w:pStyle w:val="Compact"/>
              <w:jc w:val="left"/>
            </w:pPr>
            <m:oMath>
              <m:r>
                <m:t>z</m:t>
              </m:r>
            </m:oMath>
          </w:p>
        </w:tc>
        <w:tc>
          <w:tcPr/>
          <w:p>
            <w:pPr>
              <w:pStyle w:val="Compact"/>
              <w:jc w:val="left"/>
            </w:pPr>
            <m:oMath>
              <m:r>
                <m:t>p</m:t>
              </m:r>
            </m:oMath>
          </w:p>
        </w:tc>
        <w:tc>
          <w:tcPr/>
          <w:p>
            <w:pPr>
              <w:pStyle w:val="Compact"/>
              <w:jc w:val="left"/>
            </w:pPr>
            <w:r>
              <w:t xml:space="preserve">Marginal effect (atmean)</w:t>
            </w:r>
          </w:p>
        </w:tc>
      </w:tr>
      <w:tr>
        <w:tc>
          <w:tcPr/>
          <w:p>
            <w:pPr>
              <w:pStyle w:val="Compact"/>
              <w:jc w:val="left"/>
            </w:pPr>
            <w:r>
              <w:t xml:space="preserve">(Intercept)</w:t>
            </w:r>
          </w:p>
        </w:tc>
        <w:tc>
          <w:tcPr/>
          <w:p>
            <w:pPr>
              <w:pStyle w:val="Compact"/>
              <w:jc w:val="left"/>
            </w:pPr>
            <m:oMath>
              <m:r>
                <m:rPr>
                  <m:sty m:val="p"/>
                </m:rPr>
                <m:t>−</m:t>
              </m:r>
              <m:r>
                <m:t>6.201</m:t>
              </m:r>
            </m:oMath>
          </w:p>
        </w:tc>
        <w:tc>
          <w:tcPr/>
          <w:p>
            <w:pPr>
              <w:pStyle w:val="Compact"/>
              <w:jc w:val="left"/>
            </w:pPr>
            <m:oMath>
              <m:r>
                <m:rPr>
                  <m:sty m:val="p"/>
                </m:rPr>
                <m:t>−</m:t>
              </m:r>
              <m:r>
                <m:t>2.72</m:t>
              </m:r>
            </m:oMath>
          </w:p>
        </w:tc>
        <w:tc>
          <w:tcPr/>
          <w:p>
            <w:pPr>
              <w:pStyle w:val="Compact"/>
              <w:jc w:val="left"/>
            </w:pPr>
            <m:oMath>
              <m:r>
                <m:t>0.0065</m:t>
              </m:r>
            </m:oMath>
            <w:r>
              <w:t xml:space="preserve"> </w:t>
            </w:r>
            <w:r>
              <w:t xml:space="preserve">**</w:t>
            </w:r>
          </w:p>
        </w:tc>
        <w:tc>
          <w:tcPr/>
          <w:p>
            <w:pPr>
              <w:pStyle w:val="Compact"/>
              <w:jc w:val="left"/>
            </w:pPr>
            <w:r>
              <w:t xml:space="preserve">—</w:t>
            </w:r>
          </w:p>
        </w:tc>
      </w:tr>
      <w:tr>
        <w:tc>
          <w:tcPr/>
          <w:p>
            <w:pPr>
              <w:pStyle w:val="Compact"/>
              <w:jc w:val="left"/>
            </w:pPr>
            <w:r>
              <w:t xml:space="preserve">members</w:t>
            </w:r>
          </w:p>
        </w:tc>
        <w:tc>
          <w:tcPr/>
          <w:p>
            <w:pPr>
              <w:pStyle w:val="Compact"/>
              <w:jc w:val="left"/>
            </w:pPr>
            <m:oMath>
              <m:r>
                <m:rPr>
                  <m:sty m:val="p"/>
                </m:rPr>
                <m:t>−</m:t>
              </m:r>
              <m:r>
                <m:t>0.0257</m:t>
              </m:r>
            </m:oMath>
          </w:p>
        </w:tc>
        <w:tc>
          <w:tcPr/>
          <w:p>
            <w:pPr>
              <w:pStyle w:val="Compact"/>
              <w:jc w:val="left"/>
            </w:pPr>
            <m:oMath>
              <m:r>
                <m:rPr>
                  <m:sty m:val="p"/>
                </m:rPr>
                <m:t>−</m:t>
              </m:r>
              <m:r>
                <m:t>0.23</m:t>
              </m:r>
            </m:oMath>
          </w:p>
        </w:tc>
        <w:tc>
          <w:tcPr/>
          <w:p>
            <w:pPr>
              <w:pStyle w:val="Compact"/>
              <w:jc w:val="left"/>
            </w:pPr>
            <m:oMath>
              <m:r>
                <m:t>0.818</m:t>
              </m:r>
            </m:oMath>
          </w:p>
        </w:tc>
        <w:tc>
          <w:tcPr/>
          <w:p>
            <w:pPr>
              <w:pStyle w:val="Compact"/>
              <w:jc w:val="left"/>
            </w:pPr>
            <m:oMath>
              <m:r>
                <m:rPr>
                  <m:sty m:val="p"/>
                </m:rPr>
                <m:t>−</m:t>
              </m:r>
              <m:r>
                <m:t>0.0030</m:t>
              </m:r>
            </m:oMath>
            <w:r>
              <w:t xml:space="preserve"> </w:t>
            </w:r>
            <w:r>
              <w:t xml:space="preserve">ns</w:t>
            </w:r>
          </w:p>
        </w:tc>
      </w:tr>
      <w:tr>
        <w:tc>
          <w:tcPr/>
          <w:p>
            <w:pPr>
              <w:pStyle w:val="Compact"/>
              <w:jc w:val="left"/>
            </w:pPr>
            <w:r>
              <w:t xml:space="preserve">hired_staff</w:t>
            </w:r>
          </w:p>
        </w:tc>
        <w:tc>
          <w:tcPr/>
          <w:p>
            <w:pPr>
              <w:pStyle w:val="Compact"/>
              <w:jc w:val="left"/>
            </w:pPr>
            <m:oMath>
              <m:r>
                <m:t>0.1788</m:t>
              </m:r>
            </m:oMath>
          </w:p>
        </w:tc>
        <w:tc>
          <w:tcPr/>
          <w:p>
            <w:pPr>
              <w:pStyle w:val="Compact"/>
              <w:jc w:val="left"/>
            </w:pPr>
            <m:oMath>
              <m:r>
                <m:t>1.54</m:t>
              </m:r>
            </m:oMath>
          </w:p>
        </w:tc>
        <w:tc>
          <w:tcPr/>
          <w:p>
            <w:pPr>
              <w:pStyle w:val="Compact"/>
              <w:jc w:val="left"/>
            </w:pPr>
            <m:oMath>
              <m:r>
                <m:t>0.125</m:t>
              </m:r>
            </m:oMath>
          </w:p>
        </w:tc>
        <w:tc>
          <w:tcPr/>
          <w:p>
            <w:pPr>
              <w:pStyle w:val="Compact"/>
              <w:jc w:val="left"/>
            </w:pPr>
            <m:oMath>
              <m:r>
                <m:t>0.0206</m:t>
              </m:r>
            </m:oMath>
            <w:r>
              <w:t xml:space="preserve"> </w:t>
            </w:r>
            <w:r>
              <w:t xml:space="preserve">.</w:t>
            </w:r>
          </w:p>
        </w:tc>
      </w:tr>
      <w:tr>
        <w:tc>
          <w:tcPr/>
          <w:p>
            <w:pPr>
              <w:pStyle w:val="Compact"/>
              <w:jc w:val="left"/>
            </w:pPr>
            <w:r>
              <w:t xml:space="preserve">oxygen_used (TRUE)</w:t>
            </w:r>
          </w:p>
        </w:tc>
        <w:tc>
          <w:tcPr/>
          <w:p>
            <w:pPr>
              <w:pStyle w:val="Compact"/>
              <w:jc w:val="left"/>
            </w:pPr>
            <m:oMath>
              <m:r>
                <m:t>2.712</m:t>
              </m:r>
            </m:oMath>
          </w:p>
        </w:tc>
        <w:tc>
          <w:tcPr/>
          <w:p>
            <w:pPr>
              <w:pStyle w:val="Compact"/>
              <w:jc w:val="left"/>
            </w:pPr>
            <m:oMath>
              <m:r>
                <m:t>5.01</m:t>
              </m:r>
            </m:oMath>
          </w:p>
        </w:tc>
        <w:tc>
          <w:tcPr/>
          <w:p>
            <w:pPr>
              <w:pStyle w:val="Compact"/>
              <w:jc w:val="left"/>
            </w:pPr>
            <m:oMath>
              <m:r>
                <m:t>5.5</m:t>
              </m:r>
              <m:r>
                <m:rPr>
                  <m:nor/>
                  <m:sty m:val="p"/>
                </m:rPr>
                <m:t>e-</m:t>
              </m:r>
              <m:r>
                <m:t>07</m:t>
              </m:r>
            </m:oMath>
            <w:r>
              <w:t xml:space="preserve"> </w:t>
            </w:r>
            <w:r>
              <w:t xml:space="preserve">***</w:t>
            </w:r>
          </w:p>
        </w:tc>
        <w:tc>
          <w:tcPr/>
          <w:p>
            <w:pPr>
              <w:pStyle w:val="Compact"/>
              <w:jc w:val="left"/>
            </w:pPr>
            <m:oMath>
              <m:r>
                <m:t>0.4743</m:t>
              </m:r>
            </m:oMath>
            <w:r>
              <w:t xml:space="preserve"> </w:t>
            </w:r>
            <w:r>
              <w:t xml:space="preserve">***</w:t>
            </w:r>
          </w:p>
        </w:tc>
      </w:tr>
      <w:tr>
        <w:tc>
          <w:tcPr/>
          <w:p>
            <w:pPr>
              <w:pStyle w:val="Compact"/>
              <w:jc w:val="left"/>
            </w:pPr>
            <w:r>
              <w:t xml:space="preserve">month</w:t>
            </w:r>
          </w:p>
        </w:tc>
        <w:tc>
          <w:tcPr/>
          <w:p>
            <w:pPr>
              <w:pStyle w:val="Compact"/>
              <w:jc w:val="left"/>
            </w:pPr>
            <m:oMath>
              <m:r>
                <m:t>1.235</m:t>
              </m:r>
            </m:oMath>
          </w:p>
        </w:tc>
        <w:tc>
          <w:tcPr/>
          <w:p>
            <w:pPr>
              <w:pStyle w:val="Compact"/>
              <w:jc w:val="left"/>
            </w:pPr>
            <m:oMath>
              <m:r>
                <m:t>2.35</m:t>
              </m:r>
            </m:oMath>
          </w:p>
        </w:tc>
        <w:tc>
          <w:tcPr/>
          <w:p>
            <w:pPr>
              <w:pStyle w:val="Compact"/>
              <w:jc w:val="left"/>
            </w:pPr>
            <m:oMath>
              <m:r>
                <m:t>0.0187</m:t>
              </m:r>
            </m:oMath>
            <w:r>
              <w:t xml:space="preserve"> </w:t>
            </w:r>
            <w:r>
              <w:t xml:space="preserve">*</w:t>
            </w:r>
          </w:p>
        </w:tc>
        <w:tc>
          <w:tcPr/>
          <w:p>
            <w:pPr>
              <w:pStyle w:val="Compact"/>
              <w:jc w:val="left"/>
            </w:pPr>
            <m:oMath>
              <m:r>
                <m:t>0.1426</m:t>
              </m:r>
            </m:oMath>
            <w:r>
              <w:t xml:space="preserve"> </w:t>
            </w:r>
            <w:r>
              <w:t xml:space="preserve">*</w:t>
            </w:r>
          </w:p>
        </w:tc>
      </w:tr>
    </w:tbl>
    <w:bookmarkStart w:id="32" w:name="X7888608cfa393b0cddb5bd62814ef114b032243"/>
    <w:p>
      <w:pPr>
        <w:pStyle w:val="Heading3"/>
      </w:pPr>
      <w:r>
        <w:t xml:space="preserve">a) Why is the topic important? (economic reasons)</w:t>
      </w:r>
    </w:p>
    <w:p>
      <w:pPr>
        <w:pStyle w:val="FirstParagraph"/>
      </w:pPr>
      <w:r>
        <w:t xml:space="preserve">Himalayan mountaineering is a</w:t>
      </w:r>
      <w:r>
        <w:t xml:space="preserve"> </w:t>
      </w:r>
      <w:r>
        <w:rPr>
          <w:bCs/>
          <w:b/>
        </w:rPr>
        <w:t xml:space="preserve">major industry for Nepal</w:t>
      </w:r>
      <w:r>
        <w:t xml:space="preserve"> </w:t>
      </w:r>
      <w:r>
        <w:t xml:space="preserve">— permit fees, guiding, porters/Sherpa wages, equipment, oxygen, lodging and insurance all generate substantial revenue and employment. Understanding the drivers of expedition success supports efficient</w:t>
      </w:r>
      <w:r>
        <w:t xml:space="preserve"> </w:t>
      </w:r>
      <w:r>
        <w:rPr>
          <w:bCs/>
          <w:b/>
        </w:rPr>
        <w:t xml:space="preserve">resource allocation</w:t>
      </w:r>
      <w:r>
        <w:t xml:space="preserve"> </w:t>
      </w:r>
      <w:r>
        <w:t xml:space="preserve">(how much oxygen/staff to buy),</w:t>
      </w:r>
      <w:r>
        <w:t xml:space="preserve"> </w:t>
      </w:r>
      <w:r>
        <w:rPr>
          <w:bCs/>
          <w:b/>
        </w:rPr>
        <w:t xml:space="preserve">risk pricing</w:t>
      </w:r>
      <w:r>
        <w:t xml:space="preserve"> </w:t>
      </w:r>
      <w:r>
        <w:t xml:space="preserve">(insurance, operator pricing), and</w:t>
      </w:r>
      <w:r>
        <w:t xml:space="preserve"> </w:t>
      </w:r>
      <w:r>
        <w:rPr>
          <w:bCs/>
          <w:b/>
        </w:rPr>
        <w:t xml:space="preserve">policy</w:t>
      </w:r>
      <w:r>
        <w:t xml:space="preserve"> </w:t>
      </w:r>
      <w:r>
        <w:t xml:space="preserve">(safety regulation, permit design, seasonal management). Both private operators and the Nepali government have direct economic stakes in knowing what makes expeditions succeed safely.</w:t>
      </w:r>
    </w:p>
    <w:bookmarkEnd w:id="32"/>
    <w:bookmarkStart w:id="33" w:name="b-are-the-variables-jointly-significant"/>
    <w:p>
      <w:pPr>
        <w:pStyle w:val="Heading3"/>
      </w:pPr>
      <w:r>
        <w:t xml:space="preserve">b) Are the variables jointly significant?</w:t>
      </w:r>
    </w:p>
    <w:p>
      <w:pPr>
        <w:pStyle w:val="FirstParagraph"/>
      </w:pPr>
      <w:r>
        <w:rPr>
          <w:bCs/>
          <w:b/>
        </w:rPr>
        <w:t xml:space="preserve">Yes.</w:t>
      </w:r>
      <w:r>
        <w:t xml:space="preserve"> </w:t>
      </w:r>
      <w:r>
        <w:t xml:space="preserve">Likelihood-ratio test of the full model vs the intercept-only model:</w:t>
      </w:r>
      <w:r>
        <w:t xml:space="preserve"> </w:t>
      </w:r>
      <m:oMath>
        <m:sSup>
          <m:e>
            <m:r>
              <m:t>χ</m:t>
            </m:r>
          </m:e>
          <m:sup>
            <m:r>
              <m:t>2</m:t>
            </m:r>
          </m:sup>
        </m:sSup>
        <m:r>
          <m:rPr>
            <m:sty m:val="p"/>
          </m:rPr>
          <m:t>=</m:t>
        </m:r>
        <m:r>
          <m:t>64.828</m:t>
        </m:r>
      </m:oMath>
      <w:r>
        <w:t xml:space="preserve">,</w:t>
      </w:r>
      <w:r>
        <w:t xml:space="preserve"> </w:t>
      </w:r>
      <m:oMath>
        <m:r>
          <m:t>d</m:t>
        </m:r>
        <m:r>
          <m:t>f</m:t>
        </m:r>
        <m:r>
          <m:rPr>
            <m:sty m:val="p"/>
          </m:rPr>
          <m:t>=</m:t>
        </m:r>
        <m:r>
          <m:t>4</m:t>
        </m:r>
      </m:oMath>
      <w:r>
        <w:t xml:space="preserve">,</w:t>
      </w:r>
      <w:r>
        <w:t xml:space="preserve"> </w:t>
      </w:r>
      <m:oMath>
        <m:r>
          <m:t>p</m:t>
        </m:r>
        <m:r>
          <m:rPr>
            <m:sty m:val="p"/>
          </m:rPr>
          <m:t>=</m:t>
        </m:r>
        <m:r>
          <m:t>2.8</m:t>
        </m:r>
        <m:r>
          <m:rPr>
            <m:nor/>
            <m:sty m:val="p"/>
          </m:rPr>
          <m:t>e-</m:t>
        </m:r>
        <m:r>
          <m:t>13</m:t>
        </m:r>
        <m:r>
          <m:rPr>
            <m:sty m:val="p"/>
          </m:rPr>
          <m:t>&lt;</m:t>
        </m:r>
        <m:r>
          <m:t>0.05</m:t>
        </m:r>
      </m:oMath>
      <w:r>
        <w:t xml:space="preserve"> </w:t>
      </w:r>
      <w:r>
        <w:t xml:space="preserve">→</w:t>
      </w:r>
      <w:r>
        <w:t xml:space="preserve"> </w:t>
      </w:r>
      <w:r>
        <w:rPr>
          <w:bCs/>
          <w:b/>
        </w:rPr>
        <w:t xml:space="preserve">reject</w:t>
      </w:r>
      <w:r>
        <w:t xml:space="preserve"> </w:t>
      </w:r>
      <m:oMath>
        <m:sSub>
          <m:e>
            <m:r>
              <m:t>H</m:t>
            </m:r>
          </m:e>
          <m:sub>
            <m:r>
              <m:t>0</m:t>
            </m:r>
          </m:sub>
        </m:sSub>
      </m:oMath>
      <w:r>
        <w:t xml:space="preserve"> </w:t>
      </w:r>
      <w:r>
        <w:t xml:space="preserve">that all slope coefficients are zero. The regressors are jointly significant.</w:t>
      </w:r>
    </w:p>
    <w:bookmarkEnd w:id="33"/>
    <w:bookmarkStart w:id="34" w:name="c-interpretation-of-the-logit-parameters"/>
    <w:p>
      <w:pPr>
        <w:pStyle w:val="Heading3"/>
      </w:pPr>
      <w:r>
        <w:t xml:space="preserve">c) Interpretation of the logit parameters</w:t>
      </w:r>
    </w:p>
    <w:p>
      <w:pPr>
        <w:pStyle w:val="FirstParagraph"/>
      </w:pPr>
      <w:r>
        <w:t xml:space="preserve">Coefficients are on the</w:t>
      </w:r>
      <w:r>
        <w:t xml:space="preserve"> </w:t>
      </w:r>
      <w:r>
        <w:rPr>
          <w:bCs/>
          <w:b/>
        </w:rPr>
        <w:t xml:space="preserve">log-odds</w:t>
      </w:r>
      <w:r>
        <w:t xml:space="preserve"> </w:t>
      </w:r>
      <w:r>
        <w:t xml:space="preserve">scale;</w:t>
      </w:r>
      <w:r>
        <w:t xml:space="preserve"> </w:t>
      </w:r>
      <m:oMath>
        <m:r>
          <m:rPr>
            <m:sty m:val="p"/>
          </m:rPr>
          <m:t>exp</m:t>
        </m:r>
        <m:d>
          <m:dPr>
            <m:begChr m:val="("/>
            <m:endChr m:val=")"/>
            <m:sepChr m:val=""/>
            <m:grow/>
          </m:dPr>
          <m:e>
            <m:r>
              <m:t>β</m:t>
            </m:r>
          </m:e>
        </m:d>
      </m:oMath>
      <w:r>
        <w:t xml:space="preserve"> </w:t>
      </w:r>
      <w:r>
        <w:t xml:space="preserve">gives the odds ratio.</w:t>
      </w:r>
    </w:p>
    <w:p>
      <w:pPr>
        <w:numPr>
          <w:ilvl w:val="0"/>
          <w:numId w:val="1002"/>
        </w:numPr>
        <w:pStyle w:val="Compact"/>
      </w:pPr>
      <w:r>
        <w:rPr>
          <w:bCs/>
          <w:b/>
        </w:rPr>
        <w:t xml:space="preserve">oxygen_used</w:t>
      </w:r>
      <w:r>
        <w:rPr>
          <w:bCs/>
          <w:b/>
        </w:rPr>
        <w:t xml:space="preserve"> </w:t>
      </w:r>
      <m:oMath>
        <m:r>
          <m:rPr>
            <m:sty m:val="p"/>
          </m:rPr>
          <m:t>=</m:t>
        </m:r>
        <m:r>
          <m:t>2.712</m:t>
        </m:r>
      </m:oMath>
      <w:r>
        <w:rPr>
          <w:bCs/>
          <w:b/>
        </w:rPr>
        <w:t xml:space="preserve"> </w:t>
      </w:r>
      <w:r>
        <w:rPr>
          <w:bCs/>
          <w:b/>
        </w:rPr>
        <w:t xml:space="preserve">(</w:t>
      </w:r>
      <w:r>
        <w:t xml:space="preserve">*):</w:t>
      </w:r>
      <w:r>
        <w:rPr>
          <w:bCs/>
          <w:b/>
        </w:rPr>
        <w:t xml:space="preserve"> </w:t>
      </w:r>
      <w:r>
        <w:rPr>
          <w:bCs/>
          <w:b/>
        </w:rPr>
        <w:t xml:space="preserve">the strongest predictor.</w:t>
      </w:r>
      <w:r>
        <w:rPr>
          <w:bCs/>
          <w:b/>
        </w:rPr>
        <w:t xml:space="preserve"> </w:t>
      </w:r>
      <m:oMath>
        <m:r>
          <m:rPr>
            <m:sty m:val="p"/>
          </m:rPr>
          <m:t>exp</m:t>
        </m:r>
        <m:d>
          <m:dPr>
            <m:begChr m:val="("/>
            <m:endChr m:val=")"/>
            <m:sepChr m:val=""/>
            <m:grow/>
          </m:dPr>
          <m:e>
            <m:r>
              <m:t>2.712</m:t>
            </m:r>
          </m:e>
        </m:d>
        <m:r>
          <m:rPr>
            <m:sty m:val="p"/>
          </m:rPr>
          <m:t>≈</m:t>
        </m:r>
        <m:r>
          <m:t>15.1</m:t>
        </m:r>
      </m:oMath>
      <w:r>
        <w:rPr>
          <w:bCs/>
          <w:b/>
        </w:rPr>
        <w:t xml:space="preserve"> </w:t>
      </w:r>
      <w:r>
        <w:rPr>
          <w:bCs/>
          <w:b/>
        </w:rPr>
        <w:t xml:space="preserve">— using supplemental oxygen multiplies the</w:t>
      </w:r>
      <w:r>
        <w:rPr>
          <w:bCs/>
          <w:b/>
        </w:rPr>
        <w:t xml:space="preserve"> </w:t>
      </w:r>
      <w:r>
        <w:t xml:space="preserve">odds of success by about 15** versus not using it (a discrete change, since it is a dummy).</w:t>
      </w:r>
    </w:p>
    <w:p>
      <w:pPr>
        <w:numPr>
          <w:ilvl w:val="0"/>
          <w:numId w:val="1002"/>
        </w:numPr>
        <w:pStyle w:val="Compact"/>
      </w:pPr>
      <w:r>
        <w:t xml:space="preserve">**month</w:t>
      </w:r>
      <w:r>
        <w:t xml:space="preserve"> </w:t>
      </w:r>
      <m:oMath>
        <m:r>
          <m:rPr>
            <m:sty m:val="p"/>
          </m:rPr>
          <m:t>=</m:t>
        </m:r>
        <m:r>
          <m:t>1.235</m:t>
        </m:r>
      </m:oMath>
      <w:r>
        <w:t xml:space="preserve"> </w:t>
      </w:r>
      <w:r>
        <w:t xml:space="preserve">(*):**</w:t>
      </w:r>
      <w:r>
        <w:t xml:space="preserve"> </w:t>
      </w:r>
      <m:oMath>
        <m:r>
          <m:rPr>
            <m:sty m:val="p"/>
          </m:rPr>
          <m:t>exp</m:t>
        </m:r>
        <m:d>
          <m:dPr>
            <m:begChr m:val="("/>
            <m:endChr m:val=")"/>
            <m:sepChr m:val=""/>
            <m:grow/>
          </m:dPr>
          <m:e>
            <m:r>
              <m:t>1.235</m:t>
            </m:r>
          </m:e>
        </m:d>
        <m:r>
          <m:rPr>
            <m:sty m:val="p"/>
          </m:rPr>
          <m:t>≈</m:t>
        </m:r>
        <m:r>
          <m:t>3.44</m:t>
        </m:r>
      </m:oMath>
      <w:r>
        <w:t xml:space="preserve"> </w:t>
      </w:r>
      <w:r>
        <w:t xml:space="preserve">— each later month (March→April→May) multiplies the odds of success by about</w:t>
      </w:r>
      <w:r>
        <w:t xml:space="preserve"> </w:t>
      </w:r>
      <m:oMath>
        <m:r>
          <m:t>3.4</m:t>
        </m:r>
      </m:oMath>
      <w:r>
        <w:t xml:space="preserve">; May (peak season, better weather) is far more favourable than March.</w:t>
      </w:r>
    </w:p>
    <w:p>
      <w:pPr>
        <w:numPr>
          <w:ilvl w:val="0"/>
          <w:numId w:val="1002"/>
        </w:numPr>
        <w:pStyle w:val="Compact"/>
      </w:pPr>
      <w:r>
        <w:rPr>
          <w:bCs/>
          <w:b/>
        </w:rPr>
        <w:t xml:space="preserve">hired_staff</w:t>
      </w:r>
      <w:r>
        <w:rPr>
          <w:bCs/>
          <w:b/>
        </w:rPr>
        <w:t xml:space="preserve"> </w:t>
      </w:r>
      <m:oMath>
        <m:r>
          <m:rPr>
            <m:sty m:val="p"/>
          </m:rPr>
          <m:t>=</m:t>
        </m:r>
        <m:r>
          <m:t>0.179</m:t>
        </m:r>
      </m:oMath>
      <w:r>
        <w:rPr>
          <w:bCs/>
          <w:b/>
        </w:rPr>
        <w:t xml:space="preserve"> </w:t>
      </w:r>
      <w:r>
        <w:rPr>
          <w:bCs/>
          <w:b/>
        </w:rPr>
        <w:t xml:space="preserve">(ns at 5%):</w:t>
      </w:r>
      <w:r>
        <w:t xml:space="preserve"> </w:t>
      </w:r>
      <m:oMath>
        <m:r>
          <m:rPr>
            <m:sty m:val="p"/>
          </m:rPr>
          <m:t>exp</m:t>
        </m:r>
        <m:d>
          <m:dPr>
            <m:begChr m:val="("/>
            <m:endChr m:val=")"/>
            <m:sepChr m:val=""/>
            <m:grow/>
          </m:dPr>
          <m:e>
            <m:r>
              <m:t>0.179</m:t>
            </m:r>
          </m:e>
        </m:d>
        <m:r>
          <m:rPr>
            <m:sty m:val="p"/>
          </m:rPr>
          <m:t>≈</m:t>
        </m:r>
        <m:r>
          <m:t>1.20</m:t>
        </m:r>
      </m:oMath>
      <w:r>
        <w:t xml:space="preserve"> </w:t>
      </w:r>
      <w:r>
        <w:t xml:space="preserve">— each extra Sherpa raises the odds by</w:t>
      </w:r>
      <w:r>
        <w:t xml:space="preserve"> </w:t>
      </w:r>
      <m:oMath>
        <m:r>
          <m:rPr>
            <m:sty m:val="p"/>
          </m:rPr>
          <m:t>≈</m:t>
        </m:r>
        <m:r>
          <m:t>20</m:t>
        </m:r>
        <m:r>
          <m:rPr>
            <m:sty m:val="p"/>
          </m:rPr>
          <m:t>%</m:t>
        </m:r>
      </m:oMath>
      <w:r>
        <w:t xml:space="preserve">, but only borderline (significant at 10%, not 5%).</w:t>
      </w:r>
    </w:p>
    <w:p>
      <w:pPr>
        <w:numPr>
          <w:ilvl w:val="0"/>
          <w:numId w:val="1002"/>
        </w:numPr>
        <w:pStyle w:val="Compact"/>
      </w:pPr>
      <w:r>
        <w:rPr>
          <w:bCs/>
          <w:b/>
        </w:rPr>
        <w:t xml:space="preserve">members</w:t>
      </w:r>
      <w:r>
        <w:rPr>
          <w:bCs/>
          <w:b/>
        </w:rPr>
        <w:t xml:space="preserve"> </w:t>
      </w:r>
      <m:oMath>
        <m:r>
          <m:rPr>
            <m:sty m:val="p"/>
          </m:rPr>
          <m:t>=</m:t>
        </m:r>
        <m:r>
          <m:rPr>
            <m:sty m:val="p"/>
          </m:rPr>
          <m:t>−</m:t>
        </m:r>
        <m:r>
          <m:t>0.026</m:t>
        </m:r>
      </m:oMath>
      <w:r>
        <w:rPr>
          <w:bCs/>
          <w:b/>
        </w:rPr>
        <w:t xml:space="preserve"> </w:t>
      </w:r>
      <w:r>
        <w:rPr>
          <w:bCs/>
          <w:b/>
        </w:rPr>
        <w:t xml:space="preserve">(ns):</w:t>
      </w:r>
      <w:r>
        <w:t xml:space="preserve"> </w:t>
      </w:r>
      <w:r>
        <w:t xml:space="preserve">essentially no effect (</w:t>
      </w:r>
      <m:oMath>
        <m:r>
          <m:rPr>
            <m:sty m:val="p"/>
          </m:rPr>
          <m:t>exp</m:t>
        </m:r>
        <m:r>
          <m:rPr>
            <m:sty m:val="p"/>
          </m:rPr>
          <m:t>≈</m:t>
        </m:r>
        <m:r>
          <m:t>0.97</m:t>
        </m:r>
      </m:oMath>
      <w:r>
        <w:t xml:space="preserve">) and insignificant.</w:t>
      </w:r>
    </w:p>
    <w:p>
      <w:pPr>
        <w:numPr>
          <w:ilvl w:val="0"/>
          <w:numId w:val="1002"/>
        </w:numPr>
        <w:pStyle w:val="Compact"/>
      </w:pPr>
      <w:r>
        <w:rPr>
          <w:bCs/>
          <w:b/>
        </w:rPr>
        <w:t xml:space="preserve">Intercept</w:t>
      </w:r>
      <w:r>
        <w:rPr>
          <w:bCs/>
          <w:b/>
        </w:rPr>
        <w:t xml:space="preserve"> </w:t>
      </w:r>
      <m:oMath>
        <m:r>
          <m:rPr>
            <m:sty m:val="p"/>
          </m:rPr>
          <m:t>=</m:t>
        </m:r>
        <m:r>
          <m:rPr>
            <m:sty m:val="p"/>
          </m:rPr>
          <m:t>−</m:t>
        </m:r>
        <m:r>
          <m:t>6.201</m:t>
        </m:r>
      </m:oMath>
      <w:r>
        <w:rPr>
          <w:bCs/>
          <w:b/>
        </w:rPr>
        <w:t xml:space="preserve">:</w:t>
      </w:r>
      <w:r>
        <w:t xml:space="preserve"> </w:t>
      </w:r>
      <w:r>
        <w:t xml:space="preserve">baseline log-odds when all covariates are zero — not substantively meaningful here (members</w:t>
      </w:r>
      <w:r>
        <w:t xml:space="preserve"> </w:t>
      </w:r>
      <m:oMath>
        <m:r>
          <m:rPr>
            <m:sty m:val="p"/>
          </m:rPr>
          <m:t>≥</m:t>
        </m:r>
        <m:r>
          <m:t>1</m:t>
        </m:r>
      </m:oMath>
      <w:r>
        <w:t xml:space="preserve">, month</w:t>
      </w:r>
      <w:r>
        <w:t xml:space="preserve"> </w:t>
      </w:r>
      <m:oMath>
        <m:r>
          <m:rPr>
            <m:sty m:val="p"/>
          </m:rPr>
          <m:t>≥</m:t>
        </m:r>
        <m:r>
          <m:t>3</m:t>
        </m:r>
      </m:oMath>
      <w:r>
        <w:t xml:space="preserve">).</w:t>
      </w:r>
    </w:p>
    <w:p>
      <w:pPr>
        <w:pStyle w:val="FirstParagraph"/>
      </w:pPr>
      <w:r>
        <w:t xml:space="preserve">Significant drivers at 5%:</w:t>
      </w:r>
      <w:r>
        <w:t xml:space="preserve"> </w:t>
      </w:r>
      <w:r>
        <w:rPr>
          <w:bCs/>
          <w:b/>
        </w:rPr>
        <w:t xml:space="preserve">oxygen use</w:t>
      </w:r>
      <w:r>
        <w:t xml:space="preserve"> </w:t>
      </w:r>
      <w:r>
        <w:t xml:space="preserve">(large positive) and</w:t>
      </w:r>
      <w:r>
        <w:t xml:space="preserve"> </w:t>
      </w:r>
      <w:r>
        <w:rPr>
          <w:bCs/>
          <w:b/>
        </w:rPr>
        <w:t xml:space="preserve">month</w:t>
      </w:r>
      <w:r>
        <w:t xml:space="preserve"> </w:t>
      </w:r>
      <w:r>
        <w:t xml:space="preserve">(positive).</w:t>
      </w:r>
    </w:p>
    <w:bookmarkEnd w:id="34"/>
    <w:bookmarkStart w:id="35" w:name="X7e2be1218767e92aee5b6102de4dc0058e72087"/>
    <w:p>
      <w:pPr>
        <w:pStyle w:val="Heading3"/>
      </w:pPr>
      <w:r>
        <w:t xml:space="preserve">d) Interpretation of the marginal effects (at means)</w:t>
      </w:r>
    </w:p>
    <w:p>
      <w:pPr>
        <w:numPr>
          <w:ilvl w:val="0"/>
          <w:numId w:val="1003"/>
        </w:numPr>
        <w:pStyle w:val="Compact"/>
      </w:pPr>
      <w:r>
        <w:rPr>
          <w:bCs/>
          <w:b/>
        </w:rPr>
        <w:t xml:space="preserve">oxygen_used</w:t>
      </w:r>
      <w:r>
        <w:rPr>
          <w:bCs/>
          <w:b/>
        </w:rPr>
        <w:t xml:space="preserve"> </w:t>
      </w:r>
      <m:oMath>
        <m:r>
          <m:rPr>
            <m:sty m:val="p"/>
          </m:rPr>
          <m:t>=</m:t>
        </m:r>
        <m:r>
          <m:t>0.474</m:t>
        </m:r>
      </m:oMath>
      <w:r>
        <w:rPr>
          <w:bCs/>
          <w:b/>
        </w:rPr>
        <w:t xml:space="preserve"> </w:t>
      </w:r>
      <w:r>
        <w:rPr>
          <w:bCs/>
          <w:b/>
        </w:rPr>
        <w:t xml:space="preserve">(</w:t>
      </w:r>
      <w:r>
        <w:t xml:space="preserve">*):</w:t>
      </w:r>
      <w:r>
        <w:rPr>
          <w:bCs/>
          <w:b/>
        </w:rPr>
        <w:t xml:space="preserve"> </w:t>
      </w:r>
      <w:r>
        <w:rPr>
          <w:bCs/>
          <w:b/>
        </w:rPr>
        <w:t xml:space="preserve">using supplemental oxygen raises the</w:t>
      </w:r>
      <w:r>
        <w:rPr>
          <w:bCs/>
          <w:b/>
        </w:rPr>
        <w:t xml:space="preserve"> </w:t>
      </w:r>
      <w:r>
        <w:t xml:space="preserve">probability of success by about 47.4 percentage points**, evaluated at mean covariates (discrete change). A dominant effect.</w:t>
      </w:r>
    </w:p>
    <w:p>
      <w:pPr>
        <w:numPr>
          <w:ilvl w:val="0"/>
          <w:numId w:val="1003"/>
        </w:numPr>
        <w:pStyle w:val="Compact"/>
      </w:pPr>
      <w:r>
        <w:t xml:space="preserve">**month</w:t>
      </w:r>
      <w:r>
        <w:t xml:space="preserve"> </w:t>
      </w:r>
      <m:oMath>
        <m:r>
          <m:rPr>
            <m:sty m:val="p"/>
          </m:rPr>
          <m:t>=</m:t>
        </m:r>
        <m:r>
          <m:t>0.143</m:t>
        </m:r>
      </m:oMath>
      <w:r>
        <w:t xml:space="preserve"> </w:t>
      </w:r>
      <w:r>
        <w:t xml:space="preserve">(*):</w:t>
      </w:r>
      <w:r>
        <w:rPr>
          <w:bCs/>
          <w:b/>
        </w:rPr>
        <w:t xml:space="preserve"> </w:t>
      </w:r>
      <w:r>
        <w:rPr>
          <w:bCs/>
          <w:b/>
        </w:rPr>
        <w:t xml:space="preserve">each later month raises the success probability by about</w:t>
      </w:r>
      <w:r>
        <w:rPr>
          <w:bCs/>
          <w:b/>
        </w:rPr>
        <w:t xml:space="preserve"> </w:t>
      </w:r>
      <w:r>
        <w:t xml:space="preserve">14.3 pp**.</w:t>
      </w:r>
    </w:p>
    <w:p>
      <w:pPr>
        <w:numPr>
          <w:ilvl w:val="0"/>
          <w:numId w:val="1003"/>
        </w:numPr>
        <w:pStyle w:val="Compact"/>
      </w:pPr>
      <w:r>
        <w:rPr>
          <w:bCs/>
          <w:b/>
        </w:rPr>
        <w:t xml:space="preserve">hired_staff</w:t>
      </w:r>
      <w:r>
        <w:rPr>
          <w:bCs/>
          <w:b/>
        </w:rPr>
        <w:t xml:space="preserve"> </w:t>
      </w:r>
      <m:oMath>
        <m:r>
          <m:rPr>
            <m:sty m:val="p"/>
          </m:rPr>
          <m:t>=</m:t>
        </m:r>
        <m:r>
          <m:t>0.021</m:t>
        </m:r>
      </m:oMath>
      <w:r>
        <w:rPr>
          <w:bCs/>
          <w:b/>
        </w:rPr>
        <w:t xml:space="preserve"> </w:t>
      </w:r>
      <w:r>
        <w:rPr>
          <w:bCs/>
          <w:b/>
        </w:rPr>
        <w:t xml:space="preserve">(.):</w:t>
      </w:r>
      <w:r>
        <w:t xml:space="preserve"> </w:t>
      </w:r>
      <w:r>
        <w:t xml:space="preserve">each additional Sherpa adds about</w:t>
      </w:r>
      <w:r>
        <w:t xml:space="preserve"> </w:t>
      </w:r>
      <w:r>
        <w:rPr>
          <w:bCs/>
          <w:b/>
        </w:rPr>
        <w:t xml:space="preserve">2.1 pp</w:t>
      </w:r>
      <w:r>
        <w:t xml:space="preserve"> </w:t>
      </w:r>
      <w:r>
        <w:t xml:space="preserve">to the success probability — weakly significant (10% only).</w:t>
      </w:r>
    </w:p>
    <w:p>
      <w:pPr>
        <w:numPr>
          <w:ilvl w:val="0"/>
          <w:numId w:val="1003"/>
        </w:numPr>
        <w:pStyle w:val="Compact"/>
      </w:pPr>
      <w:r>
        <w:rPr>
          <w:bCs/>
          <w:b/>
        </w:rPr>
        <w:t xml:space="preserve">members</w:t>
      </w:r>
      <w:r>
        <w:rPr>
          <w:bCs/>
          <w:b/>
        </w:rPr>
        <w:t xml:space="preserve"> </w:t>
      </w:r>
      <m:oMath>
        <m:r>
          <m:rPr>
            <m:sty m:val="p"/>
          </m:rPr>
          <m:t>=</m:t>
        </m:r>
        <m:r>
          <m:rPr>
            <m:sty m:val="p"/>
          </m:rPr>
          <m:t>−</m:t>
        </m:r>
        <m:r>
          <m:t>0.003</m:t>
        </m:r>
      </m:oMath>
      <w:r>
        <w:rPr>
          <w:bCs/>
          <w:b/>
        </w:rPr>
        <w:t xml:space="preserve"> </w:t>
      </w:r>
      <w:r>
        <w:rPr>
          <w:bCs/>
          <w:b/>
        </w:rPr>
        <w:t xml:space="preserve">(ns):</w:t>
      </w:r>
      <w:r>
        <w:t xml:space="preserve"> </w:t>
      </w:r>
      <w:r>
        <w:t xml:space="preserve">negligible and insignificant.</w:t>
      </w:r>
    </w:p>
    <w:bookmarkEnd w:id="35"/>
    <w:bookmarkStart w:id="36" w:name="e-testing-for-an-optimal-expedition-size"/>
    <w:p>
      <w:pPr>
        <w:pStyle w:val="Heading3"/>
      </w:pPr>
      <w:r>
        <w:t xml:space="preserve">e) Testing for an optimal expedition size</w:t>
      </w:r>
    </w:p>
    <w:p>
      <w:pPr>
        <w:pStyle w:val="FirstParagraph"/>
      </w:pPr>
      <w:r>
        <w:t xml:space="preserve">A single linear</w:t>
      </w:r>
      <w:r>
        <w:t xml:space="preserve"> </w:t>
      </w:r>
      <w:r>
        <w:rPr>
          <w:rStyle w:val="VerbatimChar"/>
        </w:rPr>
        <w:t xml:space="preserve">members</w:t>
      </w:r>
      <w:r>
        <w:t xml:space="preserve"> </w:t>
      </w:r>
      <w:r>
        <w:t xml:space="preserve">term can only capture a monotonic effect. An</w:t>
      </w:r>
      <w:r>
        <w:t xml:space="preserve"> </w:t>
      </w:r>
      <w:r>
        <w:rPr>
          <w:bCs/>
          <w:b/>
        </w:rPr>
        <w:t xml:space="preserve">optimum</w:t>
      </w:r>
      <w:r>
        <w:t xml:space="preserve"> </w:t>
      </w:r>
      <w:r>
        <w:t xml:space="preserve">(an interior maximum) implies an</w:t>
      </w:r>
      <w:r>
        <w:t xml:space="preserve"> </w:t>
      </w:r>
      <w:r>
        <w:rPr>
          <w:bCs/>
          <w:b/>
        </w:rPr>
        <w:t xml:space="preserve">inverted-U</w:t>
      </w:r>
      <w:r>
        <w:t xml:space="preserve">: success first rises, then falls, with size. To test this, estimate a logit that</w:t>
      </w:r>
      <w:r>
        <w:t xml:space="preserve"> </w:t>
      </w:r>
      <w:r>
        <w:rPr>
          <w:bCs/>
          <w:b/>
        </w:rPr>
        <w:t xml:space="preserve">adds a quadratic term,</w:t>
      </w:r>
      <w:r>
        <w:rPr>
          <w:bCs/>
          <w:b/>
        </w:rPr>
        <w:t xml:space="preserve"> </w:t>
      </w:r>
      <w:r>
        <w:rPr>
          <w:rStyle w:val="VerbatimChar"/>
          <w:bCs/>
          <w:b/>
        </w:rPr>
        <w:t xml:space="preserve">members²</w:t>
      </w:r>
      <w:r>
        <w:t xml:space="preserve"> </w:t>
      </w:r>
      <w:r>
        <w:t xml:space="preserve">(i.e. </w:t>
      </w:r>
      <w:r>
        <w:rPr>
          <w:rStyle w:val="VerbatimChar"/>
        </w:rPr>
        <w:t xml:space="preserve">success ~ members + I(members^2) + ...</w:t>
      </w:r>
      <w:r>
        <w:t xml:space="preserve">).</w:t>
      </w:r>
    </w:p>
    <w:p>
      <w:pPr>
        <w:pStyle w:val="BodyText"/>
      </w:pPr>
      <w:r>
        <w:t xml:space="preserve">An optimal size exists if the coefficient on</w:t>
      </w:r>
      <w:r>
        <w:t xml:space="preserve"> </w:t>
      </w:r>
      <w:r>
        <w:rPr>
          <w:rStyle w:val="VerbatimChar"/>
        </w:rPr>
        <w:t xml:space="preserve">members</w:t>
      </w:r>
      <w:r>
        <w:t xml:space="preserve"> </w:t>
      </w:r>
      <w:r>
        <w:t xml:space="preserve">is positive and on</w:t>
      </w:r>
      <w:r>
        <w:t xml:space="preserve"> </w:t>
      </w:r>
      <w:r>
        <w:rPr>
          <w:rStyle w:val="VerbatimChar"/>
        </w:rPr>
        <w:t xml:space="preserve">members²</w:t>
      </w:r>
      <w:r>
        <w:t xml:space="preserve"> </w:t>
      </w:r>
      <w:r>
        <w:t xml:space="preserve">is</w:t>
      </w:r>
      <w:r>
        <w:t xml:space="preserve"> </w:t>
      </w:r>
      <w:r>
        <w:rPr>
          <w:bCs/>
          <w:b/>
        </w:rPr>
        <w:t xml:space="preserve">negative and significant</w:t>
      </w:r>
      <w:r>
        <w:t xml:space="preserve">; the implied optimum is</w:t>
      </w:r>
    </w:p>
    <w:p>
      <w:pPr>
        <w:pStyle w:val="BodyText"/>
      </w:pPr>
      <m:oMathPara>
        <m:oMathParaPr>
          <m:jc m:val="center"/>
        </m:oMathParaPr>
        <m:oMath>
          <m:sSup>
            <m:e>
              <m:r>
                <m:rPr>
                  <m:nor/>
                  <m:sty m:val="p"/>
                </m:rPr>
                <m:t>members</m:t>
              </m:r>
            </m:e>
            <m:sup>
              <m:r>
                <m:rPr>
                  <m:sty m:val="p"/>
                </m:rPr>
                <m:t>*</m:t>
              </m:r>
            </m:sup>
          </m:sSup>
          <m:r>
            <m:rPr>
              <m:sty m:val="p"/>
            </m:rPr>
            <m:t>=</m:t>
          </m:r>
          <m:r>
            <m:rPr>
              <m:sty m:val="p"/>
            </m:rPr>
            <m:t>−</m:t>
          </m:r>
          <m:f>
            <m:fPr>
              <m:type m:val="bar"/>
            </m:fPr>
            <m:num>
              <m:sSub>
                <m:e>
                  <m:r>
                    <m:t>β</m:t>
                  </m:r>
                </m:e>
                <m:sub>
                  <m:r>
                    <m:rPr>
                      <m:nor/>
                      <m:sty m:val="p"/>
                    </m:rPr>
                    <m:t>members</m:t>
                  </m:r>
                </m:sub>
              </m:sSub>
            </m:num>
            <m:den>
              <m:r>
                <m:t>2</m:t>
              </m:r>
              <m:r>
                <m:t> </m:t>
              </m:r>
              <m:sSub>
                <m:e>
                  <m:r>
                    <m:t>β</m:t>
                  </m:r>
                </m:e>
                <m:sub>
                  <m:sSup>
                    <m:e>
                      <m:r>
                        <m:rPr>
                          <m:nor/>
                          <m:sty m:val="p"/>
                        </m:rPr>
                        <m:t>members</m:t>
                      </m:r>
                    </m:e>
                    <m:sup>
                      <m:r>
                        <m:t>2</m:t>
                      </m:r>
                    </m:sup>
                  </m:sSup>
                </m:sub>
              </m:sSub>
            </m:den>
          </m:f>
          <m:r>
            <m:rPr>
              <m:sty m:val="p"/>
            </m:rPr>
            <m:t>.</m:t>
          </m:r>
        </m:oMath>
      </m:oMathPara>
    </w:p>
    <w:p>
      <w:pPr>
        <w:pStyle w:val="FirstParagraph"/>
      </w:pPr>
      <w:r>
        <w:t xml:space="preserve">So: estimate the</w:t>
      </w:r>
      <w:r>
        <w:t xml:space="preserve"> </w:t>
      </w:r>
      <w:r>
        <w:rPr>
          <w:bCs/>
          <w:b/>
        </w:rPr>
        <w:t xml:space="preserve">logit augmented with the square of</w:t>
      </w:r>
      <w:r>
        <w:rPr>
          <w:bCs/>
          <w:b/>
        </w:rPr>
        <w:t xml:space="preserve"> </w:t>
      </w:r>
      <w:r>
        <w:rPr>
          <w:rStyle w:val="VerbatimChar"/>
          <w:bCs/>
          <w:b/>
        </w:rPr>
        <w:t xml:space="preserve">members</w:t>
      </w:r>
      <w:r>
        <w:t xml:space="preserve">, and inspect the sign/significance of the squared term.</w:t>
      </w:r>
    </w:p>
    <w:p>
      <w:r>
        <w:pict>
          <v:rect style="width:0;height:1.5pt" o:hralign="center" o:hrstd="t" o:hr="t"/>
        </w:pict>
      </w:r>
    </w:p>
    <w:bookmarkEnd w:id="36"/>
    <w:bookmarkStart w:id="37" w:name="quick-reference-summary"/>
    <w:p>
      <w:pPr>
        <w:pStyle w:val="Heading3"/>
      </w:pPr>
      <w:r>
        <w:t xml:space="preserve">Quick-reference summary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Ex.</w:t>
            </w:r>
          </w:p>
        </w:tc>
        <w:tc>
          <w:tcPr/>
          <w:p>
            <w:pPr>
              <w:pStyle w:val="Compact"/>
              <w:jc w:val="left"/>
            </w:pPr>
            <w:r>
              <w:t xml:space="preserve">Technique</w:t>
            </w:r>
          </w:p>
        </w:tc>
        <w:tc>
          <w:tcPr/>
          <w:p>
            <w:pPr>
              <w:pStyle w:val="Compact"/>
              <w:jc w:val="left"/>
            </w:pPr>
            <w:r>
              <w:t xml:space="preserve">Key takeaways</w:t>
            </w:r>
          </w:p>
        </w:tc>
      </w:tr>
      <w:tr>
        <w:tc>
          <w:tcPr/>
          <w:p>
            <w:pPr>
              <w:pStyle w:val="Compact"/>
              <w:jc w:val="left"/>
            </w:pPr>
            <w:r>
              <w:t xml:space="preserve">1</w:t>
            </w:r>
          </w:p>
        </w:tc>
        <w:tc>
          <w:tcPr/>
          <w:p>
            <w:pPr>
              <w:pStyle w:val="Compact"/>
              <w:jc w:val="left"/>
            </w:pPr>
            <w:r>
              <w:t xml:space="preserve">FE vs RE panel</w:t>
            </w:r>
          </w:p>
        </w:tc>
        <w:tc>
          <w:tcPr/>
          <w:p>
            <w:pPr>
              <w:pStyle w:val="Compact"/>
              <w:jc w:val="left"/>
            </w:pPr>
            <w:r>
              <w:t xml:space="preserve">Unbalanced (</w:t>
            </w:r>
            <m:oMath>
              <m:r>
                <m:t>T</m:t>
              </m:r>
            </m:oMath>
            <w:r>
              <w:t xml:space="preserve">=4–30);</w:t>
            </w:r>
            <w:r>
              <w:t xml:space="preserve"> </w:t>
            </w:r>
            <w:r>
              <w:rPr>
                <w:rStyle w:val="VerbatimChar"/>
              </w:rPr>
              <w:t xml:space="preserve">Sex</w:t>
            </w:r>
            <w:r>
              <w:t xml:space="preserve"> </w:t>
            </w:r>
            <w:r>
              <w:t xml:space="preserve">dropped (time-invariant), no FE intercept;</w:t>
            </w:r>
            <w:r>
              <w:t xml:space="preserve"> </w:t>
            </w:r>
            <w:r>
              <w:rPr>
                <w:bCs/>
                <w:b/>
              </w:rPr>
              <w:t xml:space="preserve">Hausman</w:t>
            </w:r>
            <w:r>
              <w:rPr>
                <w:bCs/>
                <w:b/>
              </w:rPr>
              <w:t xml:space="preserve"> </w:t>
            </w:r>
            <m:oMath>
              <m:r>
                <m:t>p</m:t>
              </m:r>
              <m:r>
                <m:rPr>
                  <m:sty m:val="p"/>
                </m:rPr>
                <m:t>=</m:t>
              </m:r>
              <m:r>
                <m:t>0.65</m:t>
              </m:r>
            </m:oMath>
            <w:r>
              <w:rPr>
                <w:bCs/>
                <w:b/>
              </w:rPr>
              <w:t xml:space="preserve"> </w:t>
            </w:r>
            <w:r>
              <w:rPr>
                <w:bCs/>
                <w:b/>
              </w:rPr>
              <w:t xml:space="preserve">⇒ random effects</w:t>
            </w:r>
            <w:r>
              <w:t xml:space="preserve">; pooled OLS ⇒ heterogeneity bias + invalid SEs; model (4):</w:t>
            </w:r>
            <w:r>
              <w:t xml:space="preserve"> </w:t>
            </w:r>
            <w:r>
              <w:rPr>
                <w:rStyle w:val="VerbatimChar"/>
              </w:rPr>
              <w:t xml:space="preserve">Noffered</w:t>
            </w:r>
            <w:r>
              <w:t xml:space="preserve"> </w:t>
            </w:r>
            <m:oMath>
              <m:r>
                <m:rPr>
                  <m:sty m:val="p"/>
                </m:rPr>
                <m:t>+</m:t>
              </m:r>
              <m:r>
                <m:t>0.504</m:t>
              </m:r>
            </m:oMath>
            <w:r>
              <w:t xml:space="preserve">*** and Spring</w:t>
            </w:r>
            <w:r>
              <w:t xml:space="preserve"> </w:t>
            </w:r>
            <m:oMath>
              <m:r>
                <m:rPr>
                  <m:sty m:val="p"/>
                </m:rPr>
                <m:t>+</m:t>
              </m:r>
              <m:r>
                <m:t>0.088</m:t>
              </m:r>
            </m:oMath>
            <w:r>
              <w:t xml:space="preserve">*** matter,</w:t>
            </w:r>
            <w:r>
              <w:t xml:space="preserve"> </w:t>
            </w:r>
            <w:r>
              <w:rPr>
                <w:rStyle w:val="VerbatimChar"/>
              </w:rPr>
              <w:t xml:space="preserve">Sex</w:t>
            </w:r>
            <w:r>
              <w:t xml:space="preserve">/</w:t>
            </w:r>
            <w:r>
              <w:rPr>
                <w:rStyle w:val="VerbatimChar"/>
              </w:rPr>
              <w:t xml:space="preserve">Year</w:t>
            </w:r>
            <w:r>
              <w:t xml:space="preserve"> </w:t>
            </w:r>
            <w:r>
              <w:t xml:space="preserve">insignificant.</w:t>
            </w:r>
          </w:p>
        </w:tc>
      </w:tr>
      <w:tr>
        <w:tc>
          <w:tcPr/>
          <w:p>
            <w:pPr>
              <w:pStyle w:val="Compact"/>
              <w:jc w:val="left"/>
            </w:pPr>
            <w:r>
              <w:t xml:space="preserve">2</w:t>
            </w:r>
          </w:p>
        </w:tc>
        <w:tc>
          <w:tcPr/>
          <w:p>
            <w:pPr>
              <w:pStyle w:val="Compact"/>
              <w:jc w:val="left"/>
            </w:pPr>
            <w:r>
              <w:t xml:space="preserve">ARDL + stationarity</w:t>
            </w:r>
          </w:p>
        </w:tc>
        <w:tc>
          <w:tcPr/>
          <w:p>
            <w:pPr>
              <w:pStyle w:val="Compact"/>
              <w:jc w:val="left"/>
            </w:pPr>
            <w:r>
              <w:t xml:space="preserve">AR term reflects revenue</w:t>
            </w:r>
            <w:r>
              <w:t xml:space="preserve"> </w:t>
            </w:r>
            <w:r>
              <w:rPr>
                <w:bCs/>
                <w:b/>
              </w:rPr>
              <w:t xml:space="preserve">persistence</w:t>
            </w:r>
            <w:r>
              <w:t xml:space="preserve">; keep lag (</w:t>
            </w:r>
            <m:oMath>
              <m:r>
                <m:t>p</m:t>
              </m:r>
              <m:r>
                <m:rPr>
                  <m:sty m:val="p"/>
                </m:rPr>
                <m:t>≈</m:t>
              </m:r>
              <m:sSup>
                <m:e>
                  <m:r>
                    <m:t>10</m:t>
                  </m:r>
                </m:e>
                <m:sup>
                  <m:r>
                    <m:rPr>
                      <m:sty m:val="p"/>
                    </m:rPr>
                    <m:t>−</m:t>
                  </m:r>
                  <m:r>
                    <m:t>5</m:t>
                  </m:r>
                </m:sup>
              </m:sSup>
            </m:oMath>
            <w:r>
              <w:t xml:space="preserve">);</w:t>
            </w:r>
            <w:r>
              <w:t xml:space="preserve"> </w:t>
            </w:r>
            <w:r>
              <w:rPr>
                <w:bCs/>
                <w:b/>
              </w:rPr>
              <w:t xml:space="preserve">both series</w:t>
            </w:r>
            <w:r>
              <w:rPr>
                <w:bCs/>
                <w:b/>
              </w:rPr>
              <w:t xml:space="preserve"> </w:t>
            </w:r>
            <m:oMath>
              <m:r>
                <m:t>I</m:t>
              </m:r>
              <m:d>
                <m:dPr>
                  <m:begChr m:val="("/>
                  <m:endChr m:val=")"/>
                  <m:sepChr m:val=""/>
                  <m:grow/>
                </m:dPr>
                <m:e>
                  <m:r>
                    <m:t>0</m:t>
                  </m:r>
                </m:e>
              </m:d>
            </m:oMath>
            <w:r>
              <w:rPr>
                <w:bCs/>
                <w:b/>
              </w:rPr>
              <w:t xml:space="preserve"> </w:t>
            </w:r>
            <w:r>
              <w:rPr>
                <w:bCs/>
                <w:b/>
              </w:rPr>
              <w:t xml:space="preserve">⇒ no cointegration question</w:t>
            </w:r>
            <w:r>
              <w:t xml:space="preserve">; steady state</w:t>
            </w:r>
            <w:r>
              <w:t xml:space="preserve"> </w:t>
            </w:r>
            <m:oMath>
              <m:r>
                <m:rPr>
                  <m:sty m:val="p"/>
                </m:rPr>
                <m:t>ln</m:t>
              </m:r>
              <m:sSup>
                <m:e>
                  <m:r>
                    <m:rPr>
                      <m:nor/>
                      <m:sty m:val="p"/>
                    </m:rPr>
                    <m:t>TAX</m:t>
                  </m:r>
                </m:e>
                <m:sup>
                  <m:r>
                    <m:rPr>
                      <m:sty m:val="p"/>
                    </m:rPr>
                    <m:t>*</m:t>
                  </m:r>
                </m:sup>
              </m:sSup>
              <m:r>
                <m:rPr>
                  <m:sty m:val="p"/>
                </m:rPr>
                <m:t>≈</m:t>
              </m:r>
              <m:r>
                <m:t>5.09</m:t>
              </m:r>
            </m:oMath>
            <w:r>
              <w:t xml:space="preserve"> </w:t>
            </w:r>
            <w:r>
              <w:t xml:space="preserve">at VAT=10; long-run multiplier</w:t>
            </w:r>
            <w:r>
              <w:t xml:space="preserve"> </w:t>
            </w:r>
            <m:oMath>
              <m:r>
                <m:rPr>
                  <m:sty m:val="p"/>
                </m:rPr>
                <m:t>≈</m:t>
              </m:r>
              <m:r>
                <m:t>0.168</m:t>
              </m:r>
            </m:oMath>
            <w:r>
              <w:t xml:space="preserve"> </w:t>
            </w:r>
            <w:r>
              <w:t xml:space="preserve">(≈16.8%/pp).</w:t>
            </w:r>
          </w:p>
        </w:tc>
      </w:tr>
      <w:tr>
        <w:tc>
          <w:tcPr/>
          <w:p>
            <w:pPr>
              <w:pStyle w:val="Compact"/>
              <w:jc w:val="left"/>
            </w:pPr>
            <w:r>
              <w:t xml:space="preserve">3</w:t>
            </w:r>
          </w:p>
        </w:tc>
        <w:tc>
          <w:tcPr/>
          <w:p>
            <w:pPr>
              <w:pStyle w:val="Compact"/>
              <w:jc w:val="left"/>
            </w:pPr>
            <w:r>
              <w:t xml:space="preserve">Logit + marginal effects</w:t>
            </w:r>
          </w:p>
        </w:tc>
        <w:tc>
          <w:tcPr/>
          <w:p>
            <w:pPr>
              <w:pStyle w:val="Compact"/>
              <w:jc w:val="left"/>
            </w:pPr>
            <w:r>
              <w:t xml:space="preserve">Important: Nepal mountaineering economy; LR</w:t>
            </w:r>
            <w:r>
              <w:t xml:space="preserve"> </w:t>
            </w:r>
            <m:oMath>
              <m:sSup>
                <m:e>
                  <m:r>
                    <m:t>χ</m:t>
                  </m:r>
                </m:e>
                <m:sup>
                  <m:r>
                    <m:t>2</m:t>
                  </m:r>
                </m:sup>
              </m:sSup>
              <m:r>
                <m:rPr>
                  <m:sty m:val="p"/>
                </m:rPr>
                <m:t>=</m:t>
              </m:r>
              <m:r>
                <m:t>64.8</m:t>
              </m:r>
            </m:oMath>
            <w:r>
              <w:t xml:space="preserve">,</w:t>
            </w:r>
            <w:r>
              <w:t xml:space="preserve"> </w:t>
            </w:r>
            <m:oMath>
              <m:r>
                <m:t>p</m:t>
              </m:r>
              <m:r>
                <m:rPr>
                  <m:sty m:val="p"/>
                </m:rPr>
                <m:t>≈</m:t>
              </m:r>
              <m:sSup>
                <m:e>
                  <m:r>
                    <m:t>10</m:t>
                  </m:r>
                </m:e>
                <m:sup>
                  <m:r>
                    <m:rPr>
                      <m:sty m:val="p"/>
                    </m:rPr>
                    <m:t>−</m:t>
                  </m:r>
                  <m:r>
                    <m:t>13</m:t>
                  </m:r>
                </m:sup>
              </m:sSup>
            </m:oMath>
            <w:r>
              <w:t xml:space="preserve"> </w:t>
            </w:r>
            <w:r>
              <w:t xml:space="preserve">⇒ jointly significant;</w:t>
            </w:r>
            <w:r>
              <w:t xml:space="preserve"> </w:t>
            </w:r>
            <w:r>
              <w:rPr>
                <w:bCs/>
                <w:b/>
              </w:rPr>
              <w:t xml:space="preserve">oxygen</w:t>
            </w:r>
            <w:r>
              <w:t xml:space="preserve"> </w:t>
            </w:r>
            <w:r>
              <w:t xml:space="preserve">OR</w:t>
            </w:r>
            <m:oMath>
              <m:r>
                <m:rPr>
                  <m:sty m:val="p"/>
                </m:rPr>
                <m:t>≈</m:t>
              </m:r>
              <m:r>
                <m:t>15</m:t>
              </m:r>
            </m:oMath>
            <w:r>
              <w:t xml:space="preserve"> </w:t>
            </w:r>
            <w:r>
              <w:t xml:space="preserve">(ME</w:t>
            </w:r>
            <w:r>
              <w:t xml:space="preserve"> </w:t>
            </w:r>
            <m:oMath>
              <m:r>
                <m:rPr>
                  <m:sty m:val="p"/>
                </m:rPr>
                <m:t>+</m:t>
              </m:r>
              <m:r>
                <m:t>47</m:t>
              </m:r>
            </m:oMath>
            <w:r>
              <w:t xml:space="preserve">pp) and</w:t>
            </w:r>
            <w:r>
              <w:t xml:space="preserve"> </w:t>
            </w:r>
            <w:r>
              <w:rPr>
                <w:bCs/>
                <w:b/>
              </w:rPr>
              <w:t xml:space="preserve">month</w:t>
            </w:r>
            <w:r>
              <w:t xml:space="preserve"> </w:t>
            </w:r>
            <w:r>
              <w:t xml:space="preserve">OR</w:t>
            </w:r>
            <m:oMath>
              <m:r>
                <m:rPr>
                  <m:sty m:val="p"/>
                </m:rPr>
                <m:t>≈</m:t>
              </m:r>
              <m:r>
                <m:t>3.4</m:t>
              </m:r>
            </m:oMath>
            <w:r>
              <w:t xml:space="preserve"> </w:t>
            </w:r>
            <w:r>
              <w:t xml:space="preserve">(ME</w:t>
            </w:r>
            <w:r>
              <w:t xml:space="preserve"> </w:t>
            </w:r>
            <m:oMath>
              <m:r>
                <m:rPr>
                  <m:sty m:val="p"/>
                </m:rPr>
                <m:t>+</m:t>
              </m:r>
              <m:r>
                <m:t>14</m:t>
              </m:r>
            </m:oMath>
            <w:r>
              <w:t xml:space="preserve">pp) significant; for optimal size add</w:t>
            </w:r>
            <w:r>
              <w:t xml:space="preserve"> </w:t>
            </w:r>
            <w:r>
              <w:rPr>
                <w:rStyle w:val="VerbatimChar"/>
                <w:bCs/>
                <w:b/>
              </w:rPr>
              <w:t xml:space="preserve">members²</w:t>
            </w:r>
            <w:r>
              <w:t xml:space="preserve"> </w:t>
            </w:r>
            <w:r>
              <w:t xml:space="preserve">(inverted-U).</w:t>
            </w:r>
          </w:p>
        </w:tc>
      </w:tr>
    </w:tbl>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2026-08-16T19:43:21Z</dcterms:created>
  <dcterms:modified xsi:type="dcterms:W3CDTF">2026-08-16T19:43:21Z</dcterms:modified>
</cp:coreProperties>
</file>

<file path=docProps/custom.xml><?xml version="1.0" encoding="utf-8"?>
<Properties xmlns="http://schemas.openxmlformats.org/officeDocument/2006/custom-properties" xmlns:vt="http://schemas.openxmlformats.org/officeDocument/2006/docPropsVTypes"/>
</file>