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7006ef575021971b3f3a5a34b4498af5507847"/>
    <w:p>
      <w:pPr>
        <w:pStyle w:val="Heading1"/>
      </w:pPr>
      <w:r>
        <w:t xml:space="preserve">AE Exam — September 2, 2024 — Worked Solutions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gfr DL models &amp; stationarity</w:t>
      </w:r>
      <w:r>
        <w:t xml:space="preserve"> </w:t>
      </w:r>
      <w:r>
        <w:t xml:space="preserve">(new), (2) hot-dog Poisson</w:t>
      </w:r>
      <w:r>
        <w:t xml:space="preserve"> </w:t>
      </w:r>
      <w:r>
        <w:rPr>
          <w:iCs/>
          <w:i/>
        </w:rPr>
        <w:t xml:space="preserve">(identical to the 2023-Sept paper)</w:t>
      </w:r>
      <w:r>
        <w:t xml:space="preserve">, (3) inheritance-tax ordered logit</w:t>
      </w:r>
      <w:r>
        <w:t xml:space="preserve"> </w:t>
      </w:r>
      <w:r>
        <w:rPr>
          <w:iCs/>
          <w:i/>
        </w:rPr>
        <w:t xml:space="preserve">(identical to the 2023-Sept paper)</w:t>
      </w:r>
      <w:r>
        <w:t xml:space="preserve">. α = 5%.</w:t>
      </w:r>
    </w:p>
    <w:p>
      <w:r>
        <w:pict>
          <v:rect style="width:0;height:1.5pt" o:hralign="center" o:hrstd="t" o:hr="t"/>
        </w:pict>
      </w:r>
    </w:p>
    <w:bookmarkStart w:id="20" w:name="Xc946a0f3efd3bc94f1525bc6dc4c9baff113911"/>
    <w:p>
      <w:pPr>
        <w:pStyle w:val="Heading2"/>
      </w:pPr>
      <w:r>
        <w:t xml:space="preserve">Exercise 1 (40%) — Fertility (gfr) distributed-lag models. α = 5%</w:t>
      </w:r>
    </w:p>
    <w:p>
      <w:pPr>
        <w:pStyle w:val="FirstParagraph"/>
      </w:pPr>
      <w:r>
        <w:t xml:space="preserve">Wooldridge</w:t>
      </w:r>
      <w:r>
        <w:t xml:space="preserve"> </w:t>
      </w:r>
      <w:r>
        <w:rPr>
          <w:rStyle w:val="VerbatimChar"/>
        </w:rPr>
        <w:t xml:space="preserve">fertil3</w:t>
      </w:r>
      <w:r>
        <w:t xml:space="preserve">, 1913–1984.</w:t>
      </w:r>
      <w:r>
        <w:t xml:space="preserve"> </w:t>
      </w:r>
      <w:r>
        <w:rPr>
          <w:rStyle w:val="VerbatimChar"/>
        </w:rPr>
        <w:t xml:space="preserve">gfr</w:t>
      </w:r>
      <w:r>
        <w:t xml:space="preserve"> </w:t>
      </w:r>
      <w:r>
        <w:t xml:space="preserve">= general fertility rate;</w:t>
      </w:r>
      <w:r>
        <w:t xml:space="preserve"> </w:t>
      </w:r>
      <w:r>
        <w:rPr>
          <w:rStyle w:val="VerbatimChar"/>
        </w:rPr>
        <w:t xml:space="preserve">pe</w:t>
      </w:r>
      <w:r>
        <w:t xml:space="preserve"> </w:t>
      </w:r>
      <w:r>
        <w:t xml:space="preserve">= real value of the personal tax exemption;</w:t>
      </w:r>
      <w:r>
        <w:t xml:space="preserve"> </w:t>
      </w:r>
      <w:r>
        <w:rPr>
          <w:rStyle w:val="VerbatimChar"/>
        </w:rPr>
        <w:t xml:space="preserve">ww2</w:t>
      </w:r>
      <w:r>
        <w:t xml:space="preserve"> </w:t>
      </w:r>
      <w:r>
        <w:t xml:space="preserve">(1941–45) and</w:t>
      </w:r>
      <w:r>
        <w:t xml:space="preserve"> </w:t>
      </w:r>
      <w:r>
        <w:rPr>
          <w:rStyle w:val="VerbatimChar"/>
        </w:rPr>
        <w:t xml:space="preserve">pill</w:t>
      </w:r>
      <w:r>
        <w:t xml:space="preserve"> </w:t>
      </w:r>
      <w:r>
        <w:t xml:space="preserve">(1963+) are dummies. Models (1)–(5); see the quality table.</w:t>
      </w:r>
    </w:p>
    <w:p>
      <w:pPr>
        <w:pStyle w:val="BodyText"/>
      </w:pPr>
      <w:r>
        <w:rPr>
          <w:bCs/>
          <w:b/>
        </w:rPr>
        <w:t xml:space="preserve">a) (5%) Why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gfr</w:t>
      </w:r>
      <w:r>
        <w:rPr>
          <w:bCs/>
          <w:b/>
        </w:rPr>
        <w:t xml:space="preserve"> </w:t>
      </w:r>
      <w:r>
        <w:rPr>
          <w:bCs/>
          <w:b/>
        </w:rPr>
        <w:t xml:space="preserve">react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</w:t>
      </w:r>
      <w:r>
        <w:rPr>
          <w:bCs/>
          <w:b/>
        </w:rPr>
        <w:t xml:space="preserve"> </w:t>
      </w:r>
      <w:r>
        <w:rPr>
          <w:bCs/>
          <w:b/>
        </w:rPr>
        <w:t xml:space="preserve">with a lag?</w:t>
      </w:r>
      <w:r>
        <w:t xml:space="preserve"> </w:t>
      </w:r>
      <w:r>
        <w:t xml:space="preserve">Fertility decisions take time to respond to financial incentives: a change in the tax exemption is perceived, then acted on through family-planning decisions and the ~9-month gestation lag, plus general behavioural inertia. So a change in</w:t>
      </w:r>
      <w:r>
        <w:t xml:space="preserve"> </w:t>
      </w:r>
      <w:r>
        <w:rPr>
          <w:rStyle w:val="VerbatimChar"/>
        </w:rPr>
        <w:t xml:space="preserve">pe</w:t>
      </w:r>
      <w:r>
        <w:t xml:space="preserve"> </w:t>
      </w:r>
      <w:r>
        <w:t xml:space="preserve">this year influences births over</w:t>
      </w:r>
      <w:r>
        <w:t xml:space="preserve"> </w:t>
      </w:r>
      <w:r>
        <w:rPr>
          <w:bCs/>
          <w:b/>
        </w:rPr>
        <w:t xml:space="preserve">several subsequent years</w:t>
      </w:r>
      <w:r>
        <w:t xml:space="preserve">, not just the current one — which is exactly what a distributed-lag specification captures.</w:t>
      </w:r>
    </w:p>
    <w:p>
      <w:pPr>
        <w:pStyle w:val="BodyText"/>
      </w:pPr>
      <w:r>
        <w:rPr>
          <w:bCs/>
          <w:b/>
        </w:rPr>
        <w:t xml:space="preserve">b) (5%) Which are DL and which are ARDL?</w:t>
      </w:r>
      <w:r>
        <w:t xml:space="preserve"> </w:t>
      </w:r>
      <w:r>
        <w:rPr>
          <w:bCs/>
          <w:b/>
        </w:rPr>
        <w:t xml:space="preserve">All of (1)–(5) are DL/static — none are ARDL.</w:t>
      </w:r>
      <w:r>
        <w:t xml:space="preserve"> </w:t>
      </w:r>
      <w:r>
        <w:t xml:space="preserve">The decisive criterion: an</w:t>
      </w:r>
      <w:r>
        <w:t xml:space="preserve"> </w:t>
      </w:r>
      <w:r>
        <w:rPr>
          <w:bCs/>
          <w:b/>
        </w:rPr>
        <w:t xml:space="preserve">ARDL</w:t>
      </w:r>
      <w:r>
        <w:t xml:space="preserve"> </w:t>
      </w:r>
      <w:r>
        <w:t xml:space="preserve">must contain</w:t>
      </w:r>
      <w:r>
        <w:t xml:space="preserve"> </w:t>
      </w:r>
      <w:r>
        <w:rPr>
          <w:bCs/>
          <w:b/>
        </w:rPr>
        <w:t xml:space="preserve">lagged values of the dependent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L(gfr)</w:t>
      </w:r>
      <w:r>
        <w:t xml:space="preserve">). No model here does. Specifically: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(1) and (5):</w:t>
      </w:r>
      <w:r>
        <w:t xml:space="preserve"> </w:t>
      </w:r>
      <w:r>
        <w:rPr>
          <w:iCs/>
          <w:i/>
        </w:rPr>
        <w:t xml:space="preserve">static</w:t>
      </w:r>
      <w:r>
        <w:t xml:space="preserve"> </w:t>
      </w:r>
      <w:r>
        <w:t xml:space="preserve">(only contemporaneous</w:t>
      </w:r>
      <w:r>
        <w:t xml:space="preserve"> </w:t>
      </w:r>
      <w:r>
        <w:rPr>
          <w:rStyle w:val="VerbatimChar"/>
        </w:rPr>
        <w:t xml:space="preserve">pe</w:t>
      </w:r>
      <w:r>
        <w:t xml:space="preserve">, or no</w:t>
      </w:r>
      <w:r>
        <w:t xml:space="preserve"> </w:t>
      </w:r>
      <w:r>
        <w:rPr>
          <w:rStyle w:val="VerbatimChar"/>
        </w:rPr>
        <w:t xml:space="preserve">pe</w:t>
      </w:r>
      <w:r>
        <w:t xml:space="preserve"> </w:t>
      </w:r>
      <w:r>
        <w:t xml:space="preserve">at all) — DL with zero lags.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(2):</w:t>
      </w:r>
      <w:r>
        <w:t xml:space="preserve"> </w:t>
      </w:r>
      <w:r>
        <w:rPr>
          <w:iCs/>
          <w:i/>
        </w:rPr>
        <w:t xml:space="preserve">distributed lag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</w:t>
      </w:r>
      <w:r>
        <w:t xml:space="preserve">,</w:t>
      </w:r>
      <w:r>
        <w:t xml:space="preserve"> </w:t>
      </w:r>
      <w:r>
        <w:rPr>
          <w:rStyle w:val="VerbatimChar"/>
        </w:rPr>
        <w:t xml:space="preserve">pe₋₁</w:t>
      </w:r>
      <w:r>
        <w:t xml:space="preserve">,</w:t>
      </w:r>
      <w:r>
        <w:t xml:space="preserve"> </w:t>
      </w:r>
      <w:r>
        <w:rPr>
          <w:rStyle w:val="VerbatimChar"/>
        </w:rPr>
        <w:t xml:space="preserve">pe₋₂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(3) and (4):</w:t>
      </w:r>
      <w:r>
        <w:t xml:space="preserve"> </w:t>
      </w:r>
      <w:r>
        <w:rPr>
          <w:iCs/>
          <w:i/>
        </w:rPr>
        <w:t xml:space="preserve">distributed lag</w:t>
      </w:r>
      <w:r>
        <w:t xml:space="preserve"> </w:t>
      </w:r>
      <w:r>
        <w:t xml:space="preserve">with a single lag of</w:t>
      </w:r>
      <w:r>
        <w:t xml:space="preserve"> </w:t>
      </w:r>
      <w:r>
        <w:rPr>
          <w:rStyle w:val="VerbatimChar"/>
        </w:rPr>
        <w:t xml:space="preserve">pe</w:t>
      </w:r>
      <w:r>
        <w:t xml:space="preserve">.</w:t>
      </w:r>
      <w:r>
        <w:t xml:space="preserve"> </w:t>
      </w:r>
      <w:r>
        <w:t xml:space="preserve">None include lagged</w:t>
      </w:r>
      <w:r>
        <w:t xml:space="preserve"> </w:t>
      </w:r>
      <w:r>
        <w:rPr>
          <w:rStyle w:val="VerbatimChar"/>
        </w:rPr>
        <w:t xml:space="preserve">gfr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none are ARDL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c) (5%) Superior model?</w:t>
      </w:r>
      <w:r>
        <w:t xml:space="preserve"> </w:t>
      </w:r>
      <w:r>
        <w:t xml:space="preserve">Compare by</w:t>
      </w:r>
      <w:r>
        <w:t xml:space="preserve"> </w:t>
      </w:r>
      <w:r>
        <w:rPr>
          <w:bCs/>
          <w:b/>
        </w:rPr>
        <w:t xml:space="preserve">adjusted R²</w:t>
      </w:r>
      <w:r>
        <w:t xml:space="preserve"> </w:t>
      </w:r>
      <w:r>
        <w:t xml:space="preserve">/ residual SE (models aren’t all nested, so use IC-type criteria, not raw R²). Adjusted R²: (1) 0.450, (2) 0.459, (3) 0.458,</w:t>
      </w:r>
      <w:r>
        <w:t xml:space="preserve"> </w:t>
      </w:r>
      <w:r>
        <w:rPr>
          <w:bCs/>
          <w:b/>
        </w:rPr>
        <w:t xml:space="preserve">(4) 0.472</w:t>
      </w:r>
      <w:r>
        <w:t xml:space="preserve">, (5) 0.396; residual SE lowest for (4) at 14.104.</w:t>
      </w:r>
      <w:r>
        <w:t xml:space="preserve"> </w:t>
      </w:r>
      <w:r>
        <w:rPr>
          <w:bCs/>
          <w:b/>
        </w:rPr>
        <w:t xml:space="preserve">Model (4) is superior</w:t>
      </w:r>
      <w:r>
        <w:t xml:space="preserve"> </w:t>
      </w:r>
      <w:r>
        <w:t xml:space="preserve">— best fit with the fewest wasted parameters.</w:t>
      </w:r>
    </w:p>
    <w:p>
      <w:pPr>
        <w:pStyle w:val="BodyText"/>
      </w:pPr>
      <w:r>
        <w:rPr>
          <w:bCs/>
          <w:b/>
        </w:rPr>
        <w:t xml:space="preserve">d) (10%) Long-term multiplier for model (2).</w:t>
      </w:r>
      <w:r>
        <w:t xml:space="preserve"> </w:t>
      </w:r>
      <w:r>
        <w:t xml:space="preserve">Model (2) is a</w:t>
      </w:r>
      <w:r>
        <w:t xml:space="preserve"> </w:t>
      </w:r>
      <w:r>
        <w:rPr>
          <w:bCs/>
          <w:b/>
        </w:rPr>
        <w:t xml:space="preserve">pure DL</w:t>
      </w:r>
      <w:r>
        <w:t xml:space="preserve"> </w:t>
      </w:r>
      <w:r>
        <w:t xml:space="preserve">(no lagged</w:t>
      </w:r>
      <w:r>
        <w:t xml:space="preserve"> </w:t>
      </w:r>
      <w:r>
        <w:rPr>
          <w:rStyle w:val="VerbatimChar"/>
        </w:rPr>
        <w:t xml:space="preserve">gfr</w:t>
      </w:r>
      <w:r>
        <w:t xml:space="preserve">), so the long-run multiplier is simply the</w:t>
      </w:r>
      <w:r>
        <w:t xml:space="preserve"> </w:t>
      </w:r>
      <w:r>
        <w:rPr>
          <w:bCs/>
          <w:b/>
        </w:rPr>
        <w:t xml:space="preserve">sum of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</w:t>
      </w:r>
      <w:r>
        <w:rPr>
          <w:bCs/>
          <w:b/>
        </w:rPr>
        <w:t xml:space="preserve"> </w:t>
      </w:r>
      <w:r>
        <w:rPr>
          <w:bCs/>
          <w:b/>
        </w:rPr>
        <w:t xml:space="preserve">coefficients — no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t>α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denominator</w:t>
      </w:r>
      <w:r>
        <w:t xml:space="preserve"> </w:t>
      </w:r>
      <w:r>
        <w:t xml:space="preserve">(there are no lagged-</w:t>
      </w:r>
      <w:r>
        <w:rPr>
          <w:rStyle w:val="VerbatimChar"/>
        </w:rPr>
        <w:t xml:space="preserve">gfr</w:t>
      </w:r>
      <w:r>
        <w:t xml:space="preserve"> </w:t>
      </w:r>
      <w:r>
        <w:t xml:space="preserve">terms):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0.073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0.006</m:t>
              </m:r>
            </m:e>
          </m:d>
          <m:r>
            <m:rPr>
              <m:sty m:val="p"/>
            </m:rPr>
            <m:t>+</m:t>
          </m:r>
          <m:r>
            <m:t>0.034</m:t>
          </m:r>
          <m:r>
            <m:rPr>
              <m:sty m:val="p"/>
            </m:rPr>
            <m:t>=</m:t>
          </m:r>
          <m:r>
            <m:rPr>
              <m:sty m:val="b"/>
            </m:rPr>
            <m:t>0.101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permanent</w:t>
      </w:r>
      <w:r>
        <w:t xml:space="preserve"> </w:t>
      </w:r>
      <w:r>
        <w:t xml:space="preserve">one-dollar rise in the personal tax exemption is associated with a long-run increase of about</w:t>
      </w:r>
      <w:r>
        <w:t xml:space="preserve"> </w:t>
      </w:r>
      <w:r>
        <w:rPr>
          <w:bCs/>
          <w:b/>
        </w:rPr>
        <w:t xml:space="preserve">0.101</w:t>
      </w:r>
      <w:r>
        <w:t xml:space="preserve"> </w:t>
      </w:r>
      <w:r>
        <w:t xml:space="preserve">in the fertility rate (births per 1,000 women), holding</w:t>
      </w:r>
      <w:r>
        <w:t xml:space="preserve"> </w:t>
      </w:r>
      <w:r>
        <w:rPr>
          <w:rStyle w:val="VerbatimChar"/>
        </w:rPr>
        <w:t xml:space="preserve">ww2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pill</w:t>
      </w:r>
      <w:r>
        <w:t xml:space="preserve"> </w:t>
      </w:r>
      <w:r>
        <w:t xml:space="preserve">fixed. (The individual lag coefficients are insignificant due to multicollinearity, but the</w:t>
      </w:r>
      <w:r>
        <w:t xml:space="preserve"> </w:t>
      </w:r>
      <w:r>
        <w:rPr>
          <w:bCs/>
          <w:b/>
        </w:rPr>
        <w:t xml:space="preserve">joint F-test</w:t>
      </w:r>
      <w:r>
        <w:t xml:space="preserve"> </w:t>
      </w:r>
      <w:r>
        <w:rPr>
          <w:rStyle w:val="VerbatimChar"/>
        </w:rPr>
        <w:t xml:space="preserve">linearHypothesis</w:t>
      </w:r>
      <w:r>
        <w:t xml:space="preserve"> </w:t>
      </w:r>
      <w:r>
        <w:t xml:space="preserve">gives F=3.973,</w:t>
      </w:r>
      <w:r>
        <w:t xml:space="preserve"> </w:t>
      </w:r>
      <w:r>
        <w:rPr>
          <w:bCs/>
          <w:b/>
        </w:rPr>
        <w:t xml:space="preserve">p=0.0117 → the three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</w:t>
      </w:r>
      <w:r>
        <w:rPr>
          <w:bCs/>
          <w:b/>
        </w:rPr>
        <w:t xml:space="preserve"> </w:t>
      </w:r>
      <w:r>
        <w:rPr>
          <w:bCs/>
          <w:b/>
        </w:rPr>
        <w:t xml:space="preserve">terms are jointly significant</w:t>
      </w:r>
      <w:r>
        <w:t xml:space="preserve"> </w:t>
      </w:r>
      <w:r>
        <w:t xml:space="preserve">at 5%.)</w:t>
      </w:r>
    </w:p>
    <w:p>
      <w:pPr>
        <w:pStyle w:val="BodyText"/>
      </w:pPr>
      <w:r>
        <w:rPr>
          <w:bCs/>
          <w:b/>
        </w:rPr>
        <w:t xml:space="preserve">e) (5%) Interpret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</w:t>
      </w:r>
      <w:r>
        <w:rPr>
          <w:bCs/>
          <w:b/>
        </w:rPr>
        <w:t xml:space="preserve">ₜ in model (2).</w:t>
      </w:r>
      <w:r>
        <w:t xml:space="preserve"> </w:t>
      </w:r>
      <w:r>
        <w:t xml:space="preserve">Coefficient</w:t>
      </w:r>
      <w:r>
        <w:t xml:space="preserve"> </w:t>
      </w:r>
      <w:r>
        <w:rPr>
          <w:bCs/>
          <w:b/>
        </w:rPr>
        <w:t xml:space="preserve">0.073 (se 0.126, insignificant)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short-run / impact multiplier</w:t>
      </w:r>
      <w:r>
        <w:t xml:space="preserve">: a one-dollar rise in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exemption is associated with a 0.073 rise in</w:t>
      </w:r>
      <w:r>
        <w:t xml:space="preserve"> </w:t>
      </w:r>
      <w:r>
        <w:rPr>
          <w:rStyle w:val="VerbatimChar"/>
        </w:rPr>
        <w:t xml:space="preserve">gfr</w:t>
      </w:r>
      <w:r>
        <w:t xml:space="preserve"> </w:t>
      </w:r>
      <w:r>
        <w:rPr>
          <w:iCs/>
          <w:i/>
        </w:rPr>
        <w:t xml:space="preserve">the same year</w:t>
      </w:r>
      <w:r>
        <w:t xml:space="preserve">, but it is</w:t>
      </w:r>
      <w:r>
        <w:t xml:space="preserve"> </w:t>
      </w:r>
      <w:r>
        <w:rPr>
          <w:bCs/>
          <w:b/>
        </w:rPr>
        <w:t xml:space="preserve">statistically insignificant</w:t>
      </w:r>
      <w:r>
        <w:t xml:space="preserve"> </w:t>
      </w:r>
      <w:r>
        <w:t xml:space="preserve">— it can’t be distinguished from zero, a direct consequence of the strong multicollinearity among</w:t>
      </w:r>
      <w:r>
        <w:t xml:space="preserve"> </w:t>
      </w:r>
      <w:r>
        <w:rPr>
          <w:rStyle w:val="VerbatimChar"/>
        </w:rPr>
        <w:t xml:space="preserve">pe</w:t>
      </w:r>
      <w:r>
        <w:t xml:space="preserve">,</w:t>
      </w:r>
      <w:r>
        <w:t xml:space="preserve"> </w:t>
      </w:r>
      <w:r>
        <w:rPr>
          <w:rStyle w:val="VerbatimChar"/>
        </w:rPr>
        <w:t xml:space="preserve">pe₋₁</w:t>
      </w:r>
      <w:r>
        <w:t xml:space="preserve">,</w:t>
      </w:r>
      <w:r>
        <w:t xml:space="preserve"> </w:t>
      </w:r>
      <w:r>
        <w:rPr>
          <w:rStyle w:val="VerbatimChar"/>
        </w:rPr>
        <w:t xml:space="preserve">pe₋₂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f) (10%) Validity given the stationarity results.</w:t>
      </w:r>
      <w:r>
        <w:t xml:space="preserve"> </w:t>
      </w:r>
      <w:r>
        <w:rPr>
          <w:rStyle w:val="VerbatimChar"/>
        </w:rPr>
        <w:t xml:space="preserve">gfr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: testdf at the first clean-BG augmentation (aug2) gives ADF = −1.600,</w:t>
      </w:r>
      <w:r>
        <w:t xml:space="preserve"> </w:t>
      </w:r>
      <w:r>
        <w:rPr>
          <w:bCs/>
          <w:b/>
        </w:rPr>
        <w:t xml:space="preserve">p=0.103 → fail to reject the unit root</w:t>
      </w:r>
      <w:r>
        <w:t xml:space="preserve">; on the difference,</w:t>
      </w:r>
      <w:r>
        <w:t xml:space="preserve"> </w:t>
      </w:r>
      <w:r>
        <w:rPr>
          <w:bCs/>
          <w:b/>
        </w:rPr>
        <w:t xml:space="preserve">KPSS = 0.182 &lt; 0.463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PP = −6.069 &lt; −2.903</w:t>
      </w:r>
      <w:r>
        <w:t xml:space="preserve"> </w:t>
      </w:r>
      <w:r>
        <w:t xml:space="preserve">→ the difference is stationary. So</w:t>
      </w:r>
      <w:r>
        <w:t xml:space="preserve"> </w:t>
      </w:r>
      <w:r>
        <w:rPr>
          <w:rStyle w:val="VerbatimChar"/>
          <w:bCs/>
          <w:b/>
        </w:rPr>
        <w:t xml:space="preserve">gfr</w:t>
      </w:r>
      <w:r>
        <w:rPr>
          <w:bCs/>
          <w:b/>
        </w:rPr>
        <w:t xml:space="preserve"> </w:t>
      </w:r>
      <w:r>
        <w:rPr>
          <w:bCs/>
          <w:b/>
        </w:rPr>
        <w:t xml:space="preserve">~ I(1)</w:t>
      </w:r>
      <w:r>
        <w:t xml:space="preserve">. Regressing an I(1)</w:t>
      </w:r>
      <w:r>
        <w:t xml:space="preserve"> </w:t>
      </w:r>
      <w:r>
        <w:rPr>
          <w:rStyle w:val="VerbatimChar"/>
        </w:rPr>
        <w:t xml:space="preserve">gfr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pe</w:t>
      </w:r>
      <w:r>
        <w:t xml:space="preserve"> </w:t>
      </w:r>
      <w:r>
        <w:rPr>
          <w:bCs/>
          <w:b/>
        </w:rPr>
        <w:t xml:space="preserve">in levels</w:t>
      </w:r>
      <w:r>
        <w:t xml:space="preserve"> </w:t>
      </w:r>
      <w:r>
        <w:t xml:space="preserve">therefore risks a</w:t>
      </w:r>
      <w:r>
        <w:t xml:space="preserve"> </w:t>
      </w:r>
      <w:r>
        <w:rPr>
          <w:bCs/>
          <w:b/>
        </w:rPr>
        <w:t xml:space="preserve">spurious regression</w:t>
      </w:r>
      <w:r>
        <w:t xml:space="preserve">: the high R² and significant t-statistics may be unreliable unless</w:t>
      </w:r>
      <w:r>
        <w:t xml:space="preserve"> </w:t>
      </w:r>
      <w:r>
        <w:rPr>
          <w:rStyle w:val="VerbatimChar"/>
        </w:rPr>
        <w:t xml:space="preserve">gfr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cointegrated</w:t>
      </w:r>
      <w:r>
        <w:t xml:space="preserve">. The estimates should be treated cautiously — one should test for cointegration (and/or estimate in first differences); much of</w:t>
      </w:r>
      <w:r>
        <w:t xml:space="preserve"> </w:t>
      </w:r>
      <w:r>
        <w:rPr>
          <w:rStyle w:val="VerbatimChar"/>
        </w:rPr>
        <w:t xml:space="preserve">pill</w:t>
      </w:r>
      <w:r>
        <w:t xml:space="preserve">/</w:t>
      </w:r>
      <w:r>
        <w:rPr>
          <w:rStyle w:val="VerbatimChar"/>
        </w:rPr>
        <w:t xml:space="preserve">ww2</w:t>
      </w:r>
      <w:r>
        <w:t xml:space="preserve">’s apparent strength reflects deterministic level shifts rather than a stationary relationship.</w:t>
      </w:r>
    </w:p>
    <w:p>
      <w:r>
        <w:pict>
          <v:rect style="width:0;height:1.5pt" o:hralign="center" o:hrstd="t" o:hr="t"/>
        </w:pict>
      </w:r>
    </w:p>
    <w:bookmarkEnd w:id="20"/>
    <w:bookmarkStart w:id="21" w:name="Xe343f412bf02d7abcff92f8920acdffc1791e79"/>
    <w:p>
      <w:pPr>
        <w:pStyle w:val="Heading2"/>
      </w:pPr>
      <w:r>
        <w:t xml:space="preserve">Exercise 2 (30%) — Hot-dog eating: Poisson count. α = 5%</w:t>
      </w:r>
    </w:p>
    <w:p>
      <w:pPr>
        <w:pStyle w:val="FirstParagraph"/>
      </w:pPr>
      <w:r>
        <w:rPr>
          <w:iCs/>
          <w:i/>
        </w:rPr>
        <w:t xml:space="preserve">Identical to the 2023-September paper —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AE_2023_September_Solutions.md</w:t>
      </w:r>
      <w:r>
        <w:rPr>
          <w:iCs/>
          <w:i/>
        </w:rPr>
        <w:t xml:space="preserve"> </w:t>
      </w:r>
      <w:r>
        <w:rPr>
          <w:iCs/>
          <w:i/>
        </w:rPr>
        <w:t xml:space="preserve">for the full write-up. Summary: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(hot dogs) ~</w:t>
      </w:r>
      <w:r>
        <w:t xml:space="preserve"> </w:t>
      </w:r>
      <w:r>
        <w:rPr>
          <w:rStyle w:val="VerbatimChar"/>
        </w:rPr>
        <w:t xml:space="preserve">ever_champion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exper</w:t>
      </w:r>
      <w:r>
        <w:t xml:space="preserve">, Poisson.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a) IRRs:</w:t>
      </w:r>
      <w:r>
        <w:t xml:space="preserve"> </w:t>
      </w:r>
      <w:r>
        <w:t xml:space="preserve">ever_champion +15.8% (e^0.146), bmi +21.2% (e^0.192),</w:t>
      </w:r>
      <w:r>
        <w:t xml:space="preserve"> </w:t>
      </w:r>
      <w:r>
        <w:rPr>
          <w:bCs/>
          <w:b/>
        </w:rPr>
        <w:t xml:space="preserve">neck −5.4%</w:t>
      </w:r>
      <w:r>
        <w:t xml:space="preserve"> </w:t>
      </w:r>
      <w:r>
        <w:t xml:space="preserve">(e^−0.0556), exper +9.8% (e^0.093) — all significant; interpret as % change in expected count, not pp.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b) Neck hypothesis</w:t>
      </w:r>
      <w:r>
        <w:t xml:space="preserve"> </w:t>
      </w:r>
      <w:r>
        <w:t xml:space="preserve">(shorter → more): test sign+significance of</w:t>
      </w:r>
      <w:r>
        <w:t xml:space="preserve"> </w:t>
      </w:r>
      <w:r>
        <w:rPr>
          <w:rStyle w:val="VerbatimChar"/>
        </w:rPr>
        <w:t xml:space="preserve">neck</w:t>
      </w:r>
      <w:r>
        <w:t xml:space="preserve">. Coefficient</w:t>
      </w:r>
      <w:r>
        <w:t xml:space="preserve"> </w:t>
      </w:r>
      <w:r>
        <w:rPr>
          <w:bCs/>
          <w:b/>
        </w:rPr>
        <w:t xml:space="preserve">−0.0556, z=−18.56, p&lt;2e-16</w:t>
      </w:r>
      <w:r>
        <w:t xml:space="preserve"> </w:t>
      </w:r>
      <w:r>
        <w:t xml:space="preserve">→ negative and significant →</w:t>
      </w:r>
      <w:r>
        <w:t xml:space="preserve"> </w:t>
      </w:r>
      <w:r>
        <w:rPr>
          <w:bCs/>
          <w:b/>
        </w:rPr>
        <w:t xml:space="preserve">supports</w:t>
      </w:r>
      <w:r>
        <w:t xml:space="preserve"> </w:t>
      </w:r>
      <w:r>
        <w:t xml:space="preserve">“</w:t>
      </w:r>
      <w:r>
        <w:t xml:space="preserve">shorter neck ⇒ more hot dogs.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c) Other models:</w:t>
      </w:r>
      <w:r>
        <w:t xml:space="preserve"> </w:t>
      </w:r>
      <w:r>
        <w:t xml:space="preserve">Negative Binomial (residual deviance 7766/995 df ≈</w:t>
      </w:r>
      <w:r>
        <w:t xml:space="preserve"> </w:t>
      </w:r>
      <w:r>
        <w:rPr>
          <w:bCs/>
          <w:b/>
        </w:rPr>
        <w:t xml:space="preserve">7.8 ⇒ strong overdispersion</w:t>
      </w:r>
      <w:r>
        <w:t xml:space="preserve">, so NegBin is the natural alternative), and ZIP/ZINB or hurdle if excess zeros.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d) Extra variable:</w:t>
      </w:r>
      <w:r>
        <w:t xml:space="preserve"> </w:t>
      </w:r>
      <w:r>
        <w:t xml:space="preserve">any justified capacity/physiology measure not already included (e.g. </w:t>
      </w:r>
      <w:r>
        <w:rPr>
          <w:bCs/>
          <w:b/>
        </w:rPr>
        <w:t xml:space="preserve">sex/gender, height/weight, stomach or torso size, training intensity</w:t>
      </w:r>
      <w:r>
        <w:t xml:space="preserve">), not collinear with current regressors.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e) 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neck²</w:t>
      </w:r>
      <w:r>
        <w:rPr>
          <w:bCs/>
          <w:b/>
        </w:rPr>
        <w:t xml:space="preserve"> </w:t>
      </w:r>
      <w:r>
        <w:rPr>
          <w:bCs/>
          <w:b/>
        </w:rPr>
        <w:t xml:space="preserve">— LR test:</w:t>
      </w:r>
      <w:r>
        <w:t xml:space="preserve"> </w:t>
      </w:r>
      <w:r>
        <w:t xml:space="preserve">LL_restricted = −213.1799, LL_unrestricted = −212.5207.</w:t>
      </w:r>
      <w:r>
        <w:t xml:space="preserve"> </w:t>
      </w:r>
      <w:r>
        <w:rPr>
          <w:bCs/>
          <w:b/>
        </w:rPr>
        <w:t xml:space="preserve">LR = −2(−213.1799 − (−212.5207)) = 1.318</w:t>
      </w:r>
      <w:r>
        <w:t xml:space="preserve">, df=1; χ²(1,.95) = 3.841.</w:t>
      </w:r>
      <w:r>
        <w:t xml:space="preserve"> </w:t>
      </w:r>
      <w:r>
        <w:rPr>
          <w:bCs/>
          <w:b/>
        </w:rPr>
        <w:t xml:space="preserve">1.318 &lt; 3.841 → fail to reject → keep the ORIGINAL model</w:t>
      </w:r>
      <w:r>
        <w:t xml:space="preserve"> </w:t>
      </w:r>
      <w:r>
        <w:t xml:space="preserve">(the quadratic term adds nothing significant).</w:t>
      </w:r>
    </w:p>
    <w:p>
      <w:r>
        <w:pict>
          <v:rect style="width:0;height:1.5pt" o:hralign="center" o:hrstd="t" o:hr="t"/>
        </w:pict>
      </w:r>
    </w:p>
    <w:bookmarkEnd w:id="21"/>
    <w:bookmarkStart w:id="22" w:name="X1c214d355a3ea879ef6354df7a250207cc8d282"/>
    <w:p>
      <w:pPr>
        <w:pStyle w:val="Heading2"/>
      </w:pPr>
      <w:r>
        <w:t xml:space="preserve">Exercise 3 (30%) — Inheritance &amp; gift tax: ordered logit. α = 5%</w:t>
      </w:r>
    </w:p>
    <w:p>
      <w:pPr>
        <w:pStyle w:val="FirstParagraph"/>
      </w:pPr>
      <w:r>
        <w:rPr>
          <w:iCs/>
          <w:i/>
        </w:rPr>
        <w:t xml:space="preserve">Identical to the 2023-September paper —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AE_2023_September_Solutions.md</w:t>
      </w:r>
      <w:r>
        <w:rPr>
          <w:iCs/>
          <w:i/>
        </w:rPr>
        <w:t xml:space="preserve">. Summary:</w:t>
      </w:r>
      <w:r>
        <w:t xml:space="preserve"> </w:t>
      </w:r>
      <w:r>
        <w:t xml:space="preserve">Dependent = tax-design type (0–3, ordered). Models (1)–(4).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a) Ordered logit appropriate?</w:t>
      </w:r>
      <w:r>
        <w:t xml:space="preserve"> </w:t>
      </w:r>
      <w:r>
        <w:t xml:space="preserve">Yes — the dependent variable is</w:t>
      </w:r>
      <w:r>
        <w:t xml:space="preserve"> </w:t>
      </w:r>
      <w:r>
        <w:rPr>
          <w:bCs/>
          <w:b/>
        </w:rPr>
        <w:t xml:space="preserve">ordered</w:t>
      </w:r>
      <w:r>
        <w:t xml:space="preserve"> </w:t>
      </w:r>
      <w:r>
        <w:t xml:space="preserve">(0=no tax … 3=progressive with exemptions) but the gaps aren’t cardinal, so OLS (assumes equal spacing) and multinomial (discards order) are both wrong; ordered logit uses the ranking correctly.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b) Significant in model (1) at 5%:</w:t>
      </w:r>
      <w:r>
        <w:t xml:space="preserve"> </w:t>
      </w:r>
      <w:r>
        <w:rPr>
          <w:bCs/>
          <w:b/>
        </w:rPr>
        <w:t xml:space="preserve">75+ share (281.55</w:t>
      </w:r>
      <w:r>
        <w:rPr>
          <w:iCs/>
          <w:i/>
        </w:rPr>
        <w:t xml:space="preserve">), Aging ratio (−15.79</w:t>
      </w:r>
      <w:r>
        <w:rPr>
          <w:bCs/>
          <w:b/>
        </w:rPr>
        <w:t xml:space="preserve">), Big countries (15.82</w:t>
      </w:r>
      <w:r>
        <w:t xml:space="preserve">*)**. (Life expectancy −0.61* is only significant at 10%, so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at 5%.)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c) Superior model:</w:t>
      </w:r>
      <w:r>
        <w:t xml:space="preserve"> </w:t>
      </w:r>
      <w:r>
        <w:rPr>
          <w:bCs/>
          <w:b/>
        </w:rPr>
        <w:t xml:space="preserve">model (1)</w:t>
      </w:r>
      <w:r>
        <w:t xml:space="preserve"> </w:t>
      </w:r>
      <w:r>
        <w:t xml:space="preserve">— lowest</w:t>
      </w:r>
      <w:r>
        <w:t xml:space="preserve"> </w:t>
      </w:r>
      <w:r>
        <w:rPr>
          <w:bCs/>
          <w:b/>
        </w:rPr>
        <w:t xml:space="preserve">AIC (403.6)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lowest</w:t>
      </w:r>
      <w:r>
        <w:t xml:space="preserve"> </w:t>
      </w:r>
      <w:r>
        <w:rPr>
          <w:bCs/>
          <w:b/>
        </w:rPr>
        <w:t xml:space="preserve">BIC (460.2)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d) Verify Hypothesis 4</w:t>
      </w:r>
      <w:r>
        <w:t xml:space="preserve"> </w:t>
      </w:r>
      <w:r>
        <w:t xml:space="preserve">(taxation depends</w:t>
      </w:r>
      <w:r>
        <w:t xml:space="preserve"> </w:t>
      </w:r>
      <w:r>
        <w:rPr>
          <w:iCs/>
          <w:i/>
        </w:rPr>
        <w:t xml:space="preserve">positively</w:t>
      </w:r>
      <w:r>
        <w:t xml:space="preserve"> </w:t>
      </w:r>
      <w:r>
        <w:t xml:space="preserve">on elderly-to-young ratio =</w:t>
      </w:r>
      <w:r>
        <w:t xml:space="preserve"> </w:t>
      </w:r>
      <w:r>
        <w:rPr>
          <w:rStyle w:val="VerbatimChar"/>
        </w:rPr>
        <w:t xml:space="preserve">Aging ratio</w:t>
      </w:r>
      <w:r>
        <w:t xml:space="preserve">): test sign+significance.</w:t>
      </w:r>
      <w:r>
        <w:t xml:space="preserve"> </w:t>
      </w:r>
      <w:r>
        <w:rPr>
          <w:rStyle w:val="VerbatimChar"/>
        </w:rPr>
        <w:t xml:space="preserve">Aging ratio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−15.79</w:t>
      </w:r>
      <w:r>
        <w:t xml:space="preserve">* (negative &amp; significant)** → the effect is opposite to predicted →</w:t>
      </w:r>
      <w:r>
        <w:t xml:space="preserve"> </w:t>
      </w:r>
      <w:r>
        <w:rPr>
          <w:bCs/>
          <w:b/>
        </w:rPr>
        <w:t xml:space="preserve">H4 is NOT supported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e) Verify Hypothesis 5</w:t>
      </w:r>
      <w:r>
        <w:t xml:space="preserve"> </w:t>
      </w:r>
      <w:r>
        <w:t xml:space="preserve">(Big countries tax more):</w:t>
      </w:r>
      <w:r>
        <w:t xml:space="preserve"> </w:t>
      </w:r>
      <w:r>
        <w:rPr>
          <w:rStyle w:val="VerbatimChar"/>
        </w:rPr>
        <w:t xml:space="preserve">Big countries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+15.82</w:t>
      </w:r>
      <w:r>
        <w:t xml:space="preserve">* (positive &amp; significant)** →</w:t>
      </w:r>
      <w:r>
        <w:t xml:space="preserve"> </w:t>
      </w:r>
      <w:r>
        <w:rPr>
          <w:bCs/>
          <w:b/>
        </w:rPr>
        <w:t xml:space="preserve">H5 supported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f) Diagnostic tests for ordered models:</w:t>
      </w:r>
      <w:r>
        <w:t xml:space="preserve"> </w:t>
      </w:r>
      <w:r>
        <w:t xml:space="preserve">Brant test (parallel-regression / proportional-odds), Lipsitz test, Hosmer–Lemeshow, Pulkstenis–Robinson, the LR joint-significance test, McFadden pseudo-R², AIC/BIC, and hit-rate/confusion matrix.</w:t>
      </w:r>
    </w:p>
    <w:p>
      <w:r>
        <w:pict>
          <v:rect style="width:0;height:1.5pt" o:hralign="center" o:hrstd="t" o:hr="t"/>
        </w:pict>
      </w:r>
    </w:p>
    <w:bookmarkEnd w:id="22"/>
    <w:bookmarkStart w:id="23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DL/static; none ARDL</w:t>
            </w:r>
            <w:r>
              <w:t xml:space="preserve"> </w:t>
            </w:r>
            <w:r>
              <w:t xml:space="preserve">(no lagged</w:t>
            </w:r>
            <w:r>
              <w:t xml:space="preserve"> </w:t>
            </w:r>
            <w:r>
              <w:rPr>
                <w:rStyle w:val="VerbatimChar"/>
              </w:rPr>
              <w:t xml:space="preserve">gfr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(4)</w:t>
            </w:r>
            <w:r>
              <w:t xml:space="preserve"> </w:t>
            </w:r>
            <w:r>
              <w:t xml:space="preserve">— highest adjusted R² (0.472)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LRM = Σβ =</w:t>
            </w:r>
            <w:r>
              <w:t xml:space="preserve"> </w:t>
            </w:r>
            <w:r>
              <w:rPr>
                <w:bCs/>
                <w:b/>
              </w:rPr>
              <w:t xml:space="preserve">0.101</w:t>
            </w:r>
            <w:r>
              <w:t xml:space="preserve"> </w:t>
            </w:r>
            <w:r>
              <w:t xml:space="preserve">(pure DL, no denominator); joint F p=0.012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</w:t>
            </w:r>
            <w:r>
              <w:t xml:space="preserve">ₜ = 0.073</w:t>
            </w:r>
            <w:r>
              <w:t xml:space="preserve"> </w:t>
            </w:r>
            <w:r>
              <w:rPr>
                <w:bCs/>
                <w:b/>
              </w:rPr>
              <w:t xml:space="preserve">insignificant</w:t>
            </w:r>
            <w:r>
              <w:t xml:space="preserve"> </w:t>
            </w:r>
            <w:r>
              <w:t xml:space="preserve">(multicollinearity) — impact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gfr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I(1)</w:t>
            </w:r>
            <w:r>
              <w:t xml:space="preserve"> </w:t>
            </w:r>
            <w:r>
              <w:t xml:space="preserve">⇒ levels regression risks</w:t>
            </w:r>
            <w:r>
              <w:t xml:space="preserve"> </w:t>
            </w:r>
            <w:r>
              <w:rPr>
                <w:bCs/>
                <w:b/>
              </w:rPr>
              <w:t xml:space="preserve">spurious</w:t>
            </w:r>
            <w:r>
              <w:t xml:space="preserve">; check cointegration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= 1.318 &lt; 3.841 ⇒</w:t>
            </w:r>
            <w:r>
              <w:t xml:space="preserve"> </w:t>
            </w:r>
            <w:r>
              <w:rPr>
                <w:bCs/>
                <w:b/>
              </w:rPr>
              <w:t xml:space="preserve">keep original</w:t>
            </w:r>
            <w:r>
              <w:t xml:space="preserve"> </w:t>
            </w:r>
            <w:r>
              <w:t xml:space="preserve">(drop</w:t>
            </w:r>
            <w:r>
              <w:t xml:space="preserve"> </w:t>
            </w:r>
            <w:r>
              <w:rPr>
                <w:rStyle w:val="VerbatimChar"/>
              </w:rPr>
              <w:t xml:space="preserve">neck²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(1)</w:t>
            </w:r>
            <w:r>
              <w:t xml:space="preserve"> </w:t>
            </w:r>
            <w:r>
              <w:t xml:space="preserve">— lowest AIC &amp; 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3d/3e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ratio − ⇒</w:t>
            </w:r>
            <w:r>
              <w:t xml:space="preserve"> </w:t>
            </w:r>
            <w:r>
              <w:rPr>
                <w:bCs/>
                <w:b/>
              </w:rPr>
              <w:t xml:space="preserve">H4 rejected</w:t>
            </w:r>
            <w:r>
              <w:t xml:space="preserve">; Big + ⇒</w:t>
            </w:r>
            <w:r>
              <w:t xml:space="preserve"> </w:t>
            </w:r>
            <w:r>
              <w:rPr>
                <w:bCs/>
                <w:b/>
              </w:rPr>
              <w:t xml:space="preserve">H5 supported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2026-08-16T19:43:22Z</dcterms:created>
  <dcterms:modified xsi:type="dcterms:W3CDTF">2026-08-16T19:43:22Z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