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e-exam-june-13-2025-worked-solutions"/>
    <w:p>
      <w:pPr>
        <w:pStyle w:val="Heading1"/>
      </w:pPr>
      <w:r>
        <w:t xml:space="preserve">AE Exam — June 13, 2025 — Worked Solutions</w:t>
      </w:r>
    </w:p>
    <w:p>
      <w:pPr>
        <w:numPr>
          <w:ilvl w:val="0"/>
          <w:numId w:val="1001"/>
        </w:numPr>
        <w:pStyle w:val="Compact"/>
      </w:pPr>
      <w:r>
        <w:t xml:space="preserve">birthweight panel POLS/RE/FE, (2) the</w:t>
      </w:r>
      <w:r>
        <w:t xml:space="preserve"> </w:t>
      </w:r>
      <w:r>
        <w:t xml:space="preserve">“</w:t>
      </w:r>
      <w:r>
        <w:t xml:space="preserve">digit-ratio</w:t>
      </w:r>
      <w:r>
        <w:t xml:space="preserve">”</w:t>
      </w:r>
      <w:r>
        <w:t xml:space="preserve"> </w:t>
      </w:r>
      <w:r>
        <w:t xml:space="preserve">hypothesis across Poisson + ordered logit + binary models (with specification tests), (3) Boeing/Airbus cointegration. α per exercise.</w:t>
      </w:r>
    </w:p>
    <w:p>
      <w:r>
        <w:pict>
          <v:rect style="width:0;height:1.5pt" o:hralign="center" o:hrstd="t" o:hr="t"/>
        </w:pict>
      </w:r>
    </w:p>
    <w:bookmarkStart w:id="20" w:name="Xb7d1bdda5dc1455532bd4cb40eed613c8da4e89"/>
    <w:p>
      <w:pPr>
        <w:pStyle w:val="Heading2"/>
      </w:pPr>
      <w:r>
        <w:t xml:space="preserve">Exercise 1 (30%) — Birthweight panel (POLS / RE / FE). α = 5%</w:t>
      </w:r>
    </w:p>
    <w:p>
      <w:pPr>
        <w:pStyle w:val="FirstParagraph"/>
      </w:pPr>
      <w:r>
        <w:t xml:space="preserve">Abrevaya data: mothers (</w:t>
      </w:r>
      <w:r>
        <w:rPr>
          <w:rStyle w:val="VerbatimChar"/>
        </w:rPr>
        <w:t xml:space="preserve">i</w:t>
      </w:r>
      <w:r>
        <w:t xml:space="preserve">) with up to 3 children (</w:t>
      </w:r>
      <w:r>
        <w:rPr>
          <w:rStyle w:val="VerbatimChar"/>
        </w:rPr>
        <w:t xml:space="preserve">t</w:t>
      </w:r>
      <w:r>
        <w:t xml:space="preserve">).</w:t>
      </w:r>
      <w:r>
        <w:t xml:space="preserve"> </w:t>
      </w:r>
      <w:r>
        <w:rPr>
          <w:rStyle w:val="VerbatimChar"/>
        </w:rPr>
        <w:t xml:space="preserve">birwt</w:t>
      </w:r>
      <w:r>
        <w:t xml:space="preserve"> </w:t>
      </w:r>
      <w:r>
        <w:t xml:space="preserve">= birthweight. Time-varying: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male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married</w:t>
      </w:r>
      <w:r>
        <w:t xml:space="preserve">.</w:t>
      </w:r>
      <w:r>
        <w:t xml:space="preserve"> </w:t>
      </w:r>
      <w:r>
        <w:rPr>
          <w:bCs/>
          <w:b/>
        </w:rPr>
        <w:t xml:space="preserve">Time-invariant</w:t>
      </w:r>
      <w:r>
        <w:t xml:space="preserve">:</w:t>
      </w:r>
      <w:r>
        <w:t xml:space="preserve"> </w:t>
      </w:r>
      <w:r>
        <w:rPr>
          <w:rStyle w:val="VerbatimChar"/>
        </w:rPr>
        <w:t xml:space="preserve">hsgrad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somecoll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a) (5%) Why 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hsgrad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somecoll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collgrad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black</w:t>
      </w:r>
      <w:r>
        <w:rPr>
          <w:bCs/>
          <w:b/>
        </w:rPr>
        <w:t xml:space="preserve"> </w:t>
      </w:r>
      <w:r>
        <w:rPr>
          <w:bCs/>
          <w:b/>
        </w:rPr>
        <w:t xml:space="preserve">not estimated in FE?</w:t>
      </w:r>
      <w:r>
        <w:t xml:space="preserve"> </w:t>
      </w:r>
      <w:r>
        <w:t xml:space="preserve">They are</w:t>
      </w:r>
      <w:r>
        <w:t xml:space="preserve"> </w:t>
      </w:r>
      <w:r>
        <w:rPr>
          <w:bCs/>
          <w:b/>
        </w:rPr>
        <w:t xml:space="preserve">time-invariant</w:t>
      </w:r>
      <w:r>
        <w:t xml:space="preserve"> </w:t>
      </w:r>
      <w:r>
        <w:t xml:space="preserve">— a mother’s education and race don’t change across her successive births. Fixed effects uses the</w:t>
      </w:r>
      <w:r>
        <w:t xml:space="preserve"> </w:t>
      </w:r>
      <w:r>
        <w:rPr>
          <w:bCs/>
          <w:b/>
        </w:rPr>
        <w:t xml:space="preserve">within (demeaning) transformation</w:t>
      </w:r>
      <w:r>
        <w:t xml:space="preserve">, which subtracts each mother’s own average; anything constant within a mother is wiped out and becomes</w:t>
      </w:r>
      <w:r>
        <w:t xml:space="preserve"> </w:t>
      </w:r>
      <w:r>
        <w:rPr>
          <w:bCs/>
          <w:b/>
        </w:rPr>
        <w:t xml:space="preserve">perfectly collinear with the individual effects</w:t>
      </w:r>
      <w:r>
        <w:t xml:space="preserve">, so it cannot be estimated. (Only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male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married</w:t>
      </w:r>
      <w:r>
        <w:t xml:space="preserve"> </w:t>
      </w:r>
      <w:r>
        <w:t xml:space="preserve">vary across a mother’s births, so only those survive in FE.)</w:t>
      </w:r>
    </w:p>
    <w:p>
      <w:pPr>
        <w:pStyle w:val="BodyText"/>
      </w:pPr>
      <w:r>
        <w:rPr>
          <w:bCs/>
          <w:b/>
        </w:rPr>
        <w:t xml:space="preserve">b) (10%) Hausman finding.</w:t>
      </w:r>
      <w:r>
        <w:t xml:space="preserve"> </w:t>
      </w:r>
      <w:r>
        <w:rPr>
          <w:rStyle w:val="VerbatimChar"/>
        </w:rPr>
        <w:t xml:space="preserve">phtest(FE, RE)</w:t>
      </w:r>
      <w:r>
        <w:t xml:space="preserve">:</w:t>
      </w:r>
      <w:r>
        <w:t xml:space="preserve"> </w:t>
      </w:r>
      <w:r>
        <w:rPr>
          <w:bCs/>
          <w:b/>
        </w:rPr>
        <w:t xml:space="preserve">χ² = 26.408, df = 2, p = 1.84e-06 &lt; 0.05 → reject H₀</w:t>
      </w:r>
      <w:r>
        <w:t xml:space="preserve">. H₀ is</w:t>
      </w:r>
      <w:r>
        <w:t xml:space="preserve"> </w:t>
      </w:r>
      <w:r>
        <w:t xml:space="preserve">“</w:t>
      </w:r>
      <w:r>
        <w:t xml:space="preserve">the individual effects are uncorrelated with the regressors (RE consistent)</w:t>
      </w:r>
      <w:r>
        <w:t xml:space="preserve">”</w:t>
      </w:r>
      <w:r>
        <w:t xml:space="preserve">; rejecting it means</w:t>
      </w:r>
      <w:r>
        <w:t xml:space="preserve"> </w:t>
      </w:r>
      <w:r>
        <w:rPr>
          <w:bCs/>
          <w:b/>
        </w:rPr>
        <w:t xml:space="preserve">RE is inconsistent → use Fixed Effects</w:t>
      </w:r>
      <w:r>
        <w:t xml:space="preserve">. (df = 2 because only the time-varying coefficients —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male</w:t>
      </w:r>
      <w:r>
        <w:t xml:space="preserve"> </w:t>
      </w:r>
      <w:r>
        <w:t xml:space="preserve">— can be compared; the time-invariant ones aren’t in FE.) The drop in the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coefficient across estimators (−257 POLS → −217 RE →</w:t>
      </w:r>
      <w:r>
        <w:t xml:space="preserve"> </w:t>
      </w:r>
      <w:r>
        <w:rPr>
          <w:bCs/>
          <w:b/>
        </w:rPr>
        <w:t xml:space="preserve">−101 FE</w:t>
      </w:r>
      <w:r>
        <w:t xml:space="preserve">) is itself the symptom: once you control for the mother’s fixed traits, the apparent smoking effect shrinks dramatically, which is exactly what the Hausman test is detecting.</w:t>
      </w:r>
    </w:p>
    <w:p>
      <w:pPr>
        <w:pStyle w:val="BodyText"/>
      </w:pPr>
      <w:r>
        <w:rPr>
          <w:bCs/>
          <w:b/>
        </w:rPr>
        <w:t xml:space="preserve">c) (10%) Superior model.</w:t>
      </w:r>
      <w:r>
        <w:t xml:space="preserve"> </w:t>
      </w:r>
      <w:r>
        <w:t xml:space="preserve">Walk the three tests: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pFtest(FE, POLS)</w:t>
      </w:r>
      <w:r>
        <w:t xml:space="preserve">: F = 2.804,</w:t>
      </w:r>
      <w:r>
        <w:t xml:space="preserve"> </w:t>
      </w:r>
      <w:r>
        <w:rPr>
          <w:bCs/>
          <w:b/>
        </w:rPr>
        <w:t xml:space="preserve">p &lt; 2.2e-16 → significant individual effects → reject pooled OLS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plmtest(POLS, "bp")</w:t>
      </w:r>
      <w:r>
        <w:t xml:space="preserve">: χ² = 1022,</w:t>
      </w:r>
      <w:r>
        <w:t xml:space="preserve"> </w:t>
      </w:r>
      <w:r>
        <w:rPr>
          <w:bCs/>
          <w:b/>
        </w:rPr>
        <w:t xml:space="preserve">p &lt; 2.2e-16 → RE beats pooled</w:t>
      </w:r>
      <w:r>
        <w:t xml:space="preserve"> </w:t>
      </w:r>
      <w:r>
        <w:t xml:space="preserve">too.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phtest(FE, RE)</w:t>
      </w:r>
      <w:r>
        <w:t xml:space="preserve">:</w:t>
      </w:r>
      <w:r>
        <w:t xml:space="preserve"> </w:t>
      </w:r>
      <w:r>
        <w:rPr>
          <w:bCs/>
          <w:b/>
        </w:rPr>
        <w:t xml:space="preserve">rejects → FE over RE.</w:t>
      </w:r>
    </w:p>
    <w:p>
      <w:pPr>
        <w:pStyle w:val="BodyText"/>
      </w:pPr>
      <w:r>
        <w:t xml:space="preserve">So the chain points to</w:t>
      </w:r>
      <w:r>
        <w:t xml:space="preserve"> </w:t>
      </w:r>
      <w:r>
        <w:rPr>
          <w:bCs/>
          <w:b/>
        </w:rPr>
        <w:t xml:space="preserve">Fixed Effects</w:t>
      </w:r>
      <w:r>
        <w:t xml:space="preserve"> </w:t>
      </w:r>
      <w:r>
        <w:t xml:space="preserve">as the superior, consistent estimator. The cost is that FE can’t report the education/race effects (time-invariant), but consistency is decisive here — the Hausman test rules RE out.</w:t>
      </w:r>
      <w:r>
        <w:t xml:space="preserve"> </w:t>
      </w:r>
      <w:r>
        <w:rPr>
          <w:bCs/>
          <w:b/>
        </w:rPr>
        <w:t xml:space="preserve">Select FE.</w:t>
      </w:r>
    </w:p>
    <w:p>
      <w:pPr>
        <w:pStyle w:val="BodyText"/>
      </w:pPr>
      <w:r>
        <w:rPr>
          <w:bCs/>
          <w:b/>
        </w:rPr>
        <w:t xml:space="preserve">d) (5%) If unobserved prenatal care is in the individual effect — RE or FE?</w:t>
      </w:r>
      <w:r>
        <w:t xml:space="preserve"> </w:t>
      </w:r>
      <w:r>
        <w:rPr>
          <w:bCs/>
          <w:b/>
        </w:rPr>
        <w:t xml:space="preserve">FE.</w:t>
      </w:r>
      <w:r>
        <w:t xml:space="preserve"> </w:t>
      </w:r>
      <w:r>
        <w:t xml:space="preserve">Prenatal care is almost certainly</w:t>
      </w:r>
      <w:r>
        <w:t xml:space="preserve"> </w:t>
      </w:r>
      <w:r>
        <w:rPr>
          <w:bCs/>
          <w:b/>
        </w:rPr>
        <w:t xml:space="preserve">correlated with the regressors</w:t>
      </w:r>
      <w:r>
        <w:t xml:space="preserve"> </w:t>
      </w:r>
      <w:r>
        <w:t xml:space="preserve">(mothers who get good prenatal care also tend to be more educated, married, non-smoking). If that care sits inside the individual effect</w:t>
      </w:r>
      <w:r>
        <w:t xml:space="preserve"> </w:t>
      </w:r>
      <w:r>
        <w:rPr>
          <w:rStyle w:val="VerbatimChar"/>
        </w:rPr>
        <w:t xml:space="preserve">ζᵢ</w:t>
      </w:r>
      <w:r>
        <w:t xml:space="preserve">, then</w:t>
      </w:r>
      <w:r>
        <w:t xml:space="preserve"> </w:t>
      </w:r>
      <w:r>
        <w:rPr>
          <w:bCs/>
          <w:b/>
        </w:rPr>
        <w:t xml:space="preserve">Cov(Xβ, ζ) ≠ 0</w:t>
      </w:r>
      <w:r>
        <w:t xml:space="preserve"> </w:t>
      </w:r>
      <w:r>
        <w:t xml:space="preserve">— precisely the violation of the random-effects orthogonality assumption (the hint). RE would be biased and inconsistent;</w:t>
      </w:r>
      <w:r>
        <w:t xml:space="preserve"> </w:t>
      </w:r>
      <w:r>
        <w:rPr>
          <w:bCs/>
          <w:b/>
        </w:rPr>
        <w:t xml:space="preserve">FE differences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ζᵢ</w:t>
      </w:r>
      <w:r>
        <w:rPr>
          <w:bCs/>
          <w:b/>
        </w:rPr>
        <w:t xml:space="preserve"> </w:t>
      </w:r>
      <w:r>
        <w:rPr>
          <w:bCs/>
          <w:b/>
        </w:rPr>
        <w:t xml:space="preserve">away and stays consistent</w:t>
      </w:r>
      <w:r>
        <w:t xml:space="preserve">, so choose FE.</w:t>
      </w:r>
    </w:p>
    <w:p>
      <w:r>
        <w:pict>
          <v:rect style="width:0;height:1.5pt" o:hralign="center" o:hrstd="t" o:hr="t"/>
        </w:pict>
      </w:r>
    </w:p>
    <w:bookmarkEnd w:id="20"/>
    <w:bookmarkStart w:id="24" w:name="X4aa743018cd3ca40963a59598a88c69b8c8e434"/>
    <w:p>
      <w:pPr>
        <w:pStyle w:val="Heading2"/>
      </w:pPr>
      <w:r>
        <w:t xml:space="preserve">Exercise 2 (30%) — The</w:t>
      </w:r>
      <w:r>
        <w:t xml:space="preserve"> </w:t>
      </w:r>
      <w:r>
        <w:t xml:space="preserve">“</w:t>
      </w:r>
      <w:r>
        <w:t xml:space="preserve">digit-ratio</w:t>
      </w:r>
      <w:r>
        <w:t xml:space="preserve">”</w:t>
      </w:r>
      <w:r>
        <w:t xml:space="preserve"> </w:t>
      </w:r>
      <w:r>
        <w:t xml:space="preserve">hypothesis across three models. α = 5%</w:t>
      </w:r>
    </w:p>
    <w:p>
      <w:pPr>
        <w:pStyle w:val="FirstParagraph"/>
      </w:pPr>
      <w:r>
        <w:t xml:space="preserve">H: people whose</w:t>
      </w:r>
      <w:r>
        <w:t xml:space="preserve"> </w:t>
      </w:r>
      <w:r>
        <w:rPr>
          <w:bCs/>
          <w:b/>
        </w:rPr>
        <w:t xml:space="preserve">ring finger is longer than the index finger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less agreeable</w:t>
      </w:r>
      <w:r>
        <w:t xml:space="preserve"> </w:t>
      </w:r>
      <w:r>
        <w:t xml:space="preserve">(less likely to yield/be lenient). Tested on three datasets.</w:t>
      </w:r>
    </w:p>
    <w:bookmarkStart w:id="21" w:name="X25fae5c7d0b7e3d7326669db10c33e4806f91c0"/>
    <w:p>
      <w:pPr>
        <w:pStyle w:val="Heading3"/>
      </w:pPr>
      <w:r>
        <w:t xml:space="preserve">Part 1 — Police (Poisson).</w:t>
      </w:r>
      <w:r>
        <w:t xml:space="preserve"> </w:t>
      </w:r>
      <w:r>
        <w:rPr>
          <w:rStyle w:val="VerbatimChar"/>
        </w:rPr>
        <w:t xml:space="preserve">tcktsNarrst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ringfnglngr</w:t>
      </w:r>
    </w:p>
    <w:p>
      <w:pPr>
        <w:pStyle w:val="FirstParagraph"/>
      </w:pPr>
      <w:r>
        <w:rPr>
          <w:bCs/>
          <w:b/>
        </w:rPr>
        <w:t xml:space="preserve">a) (6%) Verify the hypothesis using the Poisson estimates.</w:t>
      </w:r>
      <w:r>
        <w:t xml:space="preserve"> </w:t>
      </w:r>
      <w:r>
        <w:t xml:space="preserve">In this context</w:t>
      </w:r>
      <w:r>
        <w:t xml:space="preserve"> </w:t>
      </w:r>
      <w:r>
        <w:t xml:space="preserve">“</w:t>
      </w:r>
      <w:r>
        <w:t xml:space="preserve">less agreeable</w:t>
      </w:r>
      <w:r>
        <w:t xml:space="preserve">”</w:t>
      </w:r>
      <w:r>
        <w:t xml:space="preserve"> </w:t>
      </w:r>
      <w:r>
        <w:t xml:space="preserve">⇒ less lenient ⇒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tickets/arrests, so the hypothesis predicts a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rPr>
          <w:rStyle w:val="VerbatimChar"/>
        </w:rPr>
        <w:t xml:space="preserve">ringfnglngr</w:t>
      </w:r>
      <w:r>
        <w:t xml:space="preserve"> </w:t>
      </w:r>
      <w:r>
        <w:t xml:space="preserve">coefficient. Test its sign and significance:</w:t>
      </w:r>
      <w:r>
        <w:t xml:space="preserve"> </w:t>
      </w:r>
      <w:r>
        <w:rPr>
          <w:bCs/>
          <w:b/>
        </w:rPr>
        <w:t xml:space="preserve">β = 0.2635, z = 22.6, p &lt; 2e-16 → positive and highly significant.</w:t>
      </w:r>
      <w:r>
        <w:t xml:space="preserve"> </w:t>
      </w:r>
      <w:r>
        <w:t xml:space="preserve">IRR = e^0.2635 =</w:t>
      </w:r>
      <w:r>
        <w:t xml:space="preserve"> </w:t>
      </w:r>
      <w:r>
        <w:rPr>
          <w:bCs/>
          <w:b/>
        </w:rPr>
        <w:t xml:space="preserve">1.30</w:t>
      </w:r>
      <w:r>
        <w:t xml:space="preserve">, so longer-ring-finger officers issue about</w:t>
      </w:r>
      <w:r>
        <w:t xml:space="preserve"> </w:t>
      </w:r>
      <w:r>
        <w:rPr>
          <w:bCs/>
          <w:b/>
        </w:rPr>
        <w:t xml:space="preserve">30% more</w:t>
      </w:r>
      <w:r>
        <w:t xml:space="preserve"> </w:t>
      </w:r>
      <w:r>
        <w:t xml:space="preserve">tickets/arrests. →</w:t>
      </w:r>
      <w:r>
        <w:t xml:space="preserve"> </w:t>
      </w:r>
      <w:r>
        <w:rPr>
          <w:bCs/>
          <w:b/>
        </w:rPr>
        <w:t xml:space="preserve">The hypothesis is supported.</w:t>
      </w:r>
      <w:r>
        <w:t xml:space="preserve"> </w:t>
      </w:r>
      <w:r>
        <w:t xml:space="preserve">(Formally a one-sided test H₀: β ≤ 0 vs H₁: β &gt; 0.)</w:t>
      </w:r>
    </w:p>
    <w:bookmarkEnd w:id="21"/>
    <w:bookmarkStart w:id="22" w:name="X7de2e444c7aeb1e41dc61f9a1e427e2843a956c"/>
    <w:p>
      <w:pPr>
        <w:pStyle w:val="Heading3"/>
      </w:pPr>
      <w:r>
        <w:t xml:space="preserve">Part 2 — Student grades (ordered logit).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prof_lngr_rngfngr</w:t>
      </w:r>
    </w:p>
    <w:p>
      <w:pPr>
        <w:pStyle w:val="FirstParagraph"/>
      </w:pPr>
      <w:r>
        <w:rPr>
          <w:bCs/>
          <w:b/>
        </w:rPr>
        <w:t xml:space="preserve">b) (6%) Verify the hypothesis using the ordered-logit estimates (ignoring spec tests).</w:t>
      </w:r>
      <w:r>
        <w:t xml:space="preserve"> </w:t>
      </w:r>
      <w:r>
        <w:t xml:space="preserve">Here</w:t>
      </w:r>
      <w:r>
        <w:t xml:space="preserve"> </w:t>
      </w:r>
      <w:r>
        <w:t xml:space="preserve">“</w:t>
      </w:r>
      <w:r>
        <w:t xml:space="preserve">less agreeable professor</w:t>
      </w:r>
      <w:r>
        <w:t xml:space="preserve">”</w:t>
      </w:r>
      <w:r>
        <w:t xml:space="preserve"> </w:t>
      </w:r>
      <w:r>
        <w:t xml:space="preserve">⇒ less likely to give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grades, so predict a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coefficient on</w:t>
      </w:r>
      <w:r>
        <w:t xml:space="preserve"> </w:t>
      </w:r>
      <w:r>
        <w:rPr>
          <w:rStyle w:val="VerbatimChar"/>
        </w:rPr>
        <w:t xml:space="preserve">prof_lngr_rngfngr</w:t>
      </w:r>
      <w:r>
        <w:t xml:space="preserve">.</w:t>
      </w:r>
      <w:r>
        <w:t xml:space="preserve"> </w:t>
      </w:r>
      <w:r>
        <w:rPr>
          <w:bCs/>
          <w:b/>
        </w:rPr>
        <w:t xml:space="preserve">β = −11.13, z = −28.7, p &lt; 2e-16 → negative and highly significant</w:t>
      </w:r>
      <w:r>
        <w:t xml:space="preserve"> </w:t>
      </w:r>
      <w:r>
        <w:t xml:space="preserve">⇒ such professors are significantly less likely to place students in the higher grade categories. →</w:t>
      </w:r>
      <w:r>
        <w:t xml:space="preserve"> </w:t>
      </w:r>
      <w:r>
        <w:rPr>
          <w:bCs/>
          <w:b/>
        </w:rPr>
        <w:t xml:space="preserve">Hypothesis supported.</w:t>
      </w:r>
    </w:p>
    <w:p>
      <w:pPr>
        <w:pStyle w:val="BodyText"/>
      </w:pPr>
      <w:r>
        <w:rPr>
          <w:bCs/>
          <w:b/>
        </w:rPr>
        <w:t xml:space="preserve">c) (6%) Is (b) valid given the specification test?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Lipsitz goodness-of-fit test</w:t>
      </w:r>
      <w:r>
        <w:t xml:space="preserve">: LR = 5.81, df = 9,</w:t>
      </w:r>
      <w:r>
        <w:t xml:space="preserve"> </w:t>
      </w:r>
      <w:r>
        <w:rPr>
          <w:bCs/>
          <w:b/>
        </w:rPr>
        <w:t xml:space="preserve">p = 0.758</w:t>
      </w:r>
      <w:r>
        <w:t xml:space="preserve">. H₀ is</w:t>
      </w:r>
      <w:r>
        <w:t xml:space="preserve"> </w:t>
      </w:r>
      <w:r>
        <w:t xml:space="preserve">“</w:t>
      </w:r>
      <w:r>
        <w:t xml:space="preserve">the model is correctly specified / fits well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p &gt; 0.05 → fail to reject → no evidence of misspecification</w:t>
      </w:r>
      <w:r>
        <w:t xml:space="preserve">, so the ordered logit is adequate and the conclusion in (b)</w:t>
      </w:r>
      <w:r>
        <w:t xml:space="preserve"> </w:t>
      </w:r>
      <w:r>
        <w:rPr>
          <w:bCs/>
          <w:b/>
        </w:rPr>
        <w:t xml:space="preserve">stands</w:t>
      </w:r>
      <w:r>
        <w:t xml:space="preserve">. (Remember the direction: a</w:t>
      </w:r>
      <w:r>
        <w:t xml:space="preserve"> </w:t>
      </w:r>
      <w:r>
        <w:rPr>
          <w:iCs/>
          <w:i/>
        </w:rPr>
        <w:t xml:space="preserve">big</w:t>
      </w:r>
      <w:r>
        <w:t xml:space="preserve"> </w:t>
      </w:r>
      <w:r>
        <w:t xml:space="preserve">p-value is the good news for a fit test.)</w:t>
      </w:r>
    </w:p>
    <w:bookmarkEnd w:id="22"/>
    <w:bookmarkStart w:id="23" w:name="Xf8ef2cb99ec1cdca7a8d5c9172a497d115e35b7"/>
    <w:p>
      <w:pPr>
        <w:pStyle w:val="Heading3"/>
      </w:pPr>
      <w:r>
        <w:t xml:space="preserve">Part 3 — Credit approval (logit &amp; probit).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ring_longer</w:t>
      </w:r>
    </w:p>
    <w:p>
      <w:pPr>
        <w:pStyle w:val="FirstParagraph"/>
      </w:pPr>
      <w:r>
        <w:rPr>
          <w:bCs/>
          <w:b/>
        </w:rPr>
        <w:t xml:space="preserve">d) (6%) Verify the hypothesis using probit/logit (ignoring spec tests).</w:t>
      </w:r>
      <w:r>
        <w:t xml:space="preserve"> </w:t>
      </w:r>
      <w:r>
        <w:t xml:space="preserve">“</w:t>
      </w:r>
      <w:r>
        <w:t xml:space="preserve">Less agreeable approver</w:t>
      </w:r>
      <w:r>
        <w:t xml:space="preserve">”</w:t>
      </w:r>
      <w:r>
        <w:t xml:space="preserve"> </w:t>
      </w:r>
      <w:r>
        <w:t xml:space="preserve">⇒ less likely to approve ⇒ predict a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rPr>
          <w:rStyle w:val="VerbatimChar"/>
        </w:rPr>
        <w:t xml:space="preserve">ring_longer</w:t>
      </w:r>
      <w:r>
        <w:t xml:space="preserve"> </w:t>
      </w:r>
      <w:r>
        <w:t xml:space="preserve">coefficient. But across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fitted models it is</w:t>
      </w:r>
      <w:r>
        <w:t xml:space="preserve"> </w:t>
      </w:r>
      <w:r>
        <w:rPr>
          <w:bCs/>
          <w:b/>
        </w:rPr>
        <w:t xml:space="preserve">positive and insignificant</w:t>
      </w:r>
      <w:r>
        <w:t xml:space="preserve"> </w:t>
      </w:r>
      <w:r>
        <w:t xml:space="preserve">(probit2 0.086, logit1 0.132, logit2 0.149, all ns). →</w:t>
      </w:r>
      <w:r>
        <w:t xml:space="preserve"> </w:t>
      </w:r>
      <w:r>
        <w:rPr>
          <w:bCs/>
          <w:b/>
        </w:rPr>
        <w:t xml:space="preserve">The hypothesis is NOT supported here:</w:t>
      </w:r>
      <w:r>
        <w:t xml:space="preserve"> </w:t>
      </w:r>
      <w:r>
        <w:t xml:space="preserve">ring-finger length has no significant effect on credit approval (and the sign is even the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way, though insignificantly so).</w:t>
      </w:r>
    </w:p>
    <w:p>
      <w:pPr>
        <w:pStyle w:val="BodyText"/>
      </w:pPr>
      <w:r>
        <w:rPr>
          <w:bCs/>
          <w:b/>
        </w:rPr>
        <w:t xml:space="preserve">e) (6%) Is (d) valid given the specification tests?</w:t>
      </w:r>
      <w:r>
        <w:t xml:space="preserve"> </w:t>
      </w:r>
      <w:r>
        <w:rPr>
          <w:bCs/>
          <w:b/>
        </w:rPr>
        <w:t xml:space="preserve">Yes — the well-specified models all agree.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Hosmer–Lemeshow</w:t>
      </w:r>
      <w:r>
        <w:t xml:space="preserve"> </w:t>
      </w:r>
      <w:r>
        <w:rPr>
          <w:rStyle w:val="VerbatimChar"/>
        </w:rPr>
        <w:t xml:space="preserve">probit1</w:t>
      </w:r>
      <w:r>
        <w:t xml:space="preserve">: X² = 10.82,</w:t>
      </w:r>
      <w:r>
        <w:t xml:space="preserve"> </w:t>
      </w:r>
      <w:r>
        <w:rPr>
          <w:bCs/>
          <w:b/>
        </w:rPr>
        <w:t xml:space="preserve">p = 0.010 → reject good fit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probit1</w:t>
      </w:r>
      <w:r>
        <w:t xml:space="preserve"> </w:t>
      </w:r>
      <w:r>
        <w:t xml:space="preserve">only contains</w:t>
      </w:r>
      <w:r>
        <w:t xml:space="preserve"> </w:t>
      </w:r>
      <w:r>
        <w:rPr>
          <w:rStyle w:val="VerbatimChar"/>
        </w:rPr>
        <w:t xml:space="preserve">married</w:t>
      </w:r>
      <w:r>
        <w:t xml:space="preserve"> </w:t>
      </w:r>
      <w:r>
        <w:t xml:space="preserve">(under-specified), so we wouldn’t use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Hosmer–Lemeshow</w:t>
      </w:r>
      <w:r>
        <w:t xml:space="preserve"> </w:t>
      </w:r>
      <w:r>
        <w:rPr>
          <w:rStyle w:val="VerbatimChar"/>
        </w:rPr>
        <w:t xml:space="preserve">probit2</w:t>
      </w:r>
      <w:r>
        <w:t xml:space="preserve">: X² = 12.85,</w:t>
      </w:r>
      <w:r>
        <w:t xml:space="preserve"> </w:t>
      </w:r>
      <w:r>
        <w:rPr>
          <w:bCs/>
          <w:b/>
        </w:rPr>
        <w:t xml:space="preserve">p = 0.136 → fits well.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Osius–Rojek (</w:t>
      </w:r>
      <w:r>
        <w:rPr>
          <w:rStyle w:val="VerbatimChar"/>
          <w:bCs/>
          <w:b/>
        </w:rPr>
        <w:t xml:space="preserve">o.r.test</w:t>
      </w:r>
      <w:r>
        <w:rPr>
          <w:bCs/>
          <w:b/>
        </w:rPr>
        <w:t xml:space="preserve">)</w:t>
      </w:r>
      <w:r>
        <w:t xml:space="preserve"> </w:t>
      </w:r>
      <w:r>
        <w:rPr>
          <w:rStyle w:val="VerbatimChar"/>
        </w:rPr>
        <w:t xml:space="preserve">logit1</w:t>
      </w:r>
      <w:r>
        <w:t xml:space="preserve">: z = −0.54,</w:t>
      </w:r>
      <w:r>
        <w:t xml:space="preserve"> </w:t>
      </w:r>
      <w:r>
        <w:rPr>
          <w:bCs/>
          <w:b/>
        </w:rPr>
        <w:t xml:space="preserve">p = 0.437 → well specified.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Stukel test</w:t>
      </w:r>
      <w:r>
        <w:t xml:space="preserve"> </w:t>
      </w:r>
      <w:r>
        <w:rPr>
          <w:rStyle w:val="VerbatimChar"/>
        </w:rPr>
        <w:t xml:space="preserve">logit2</w:t>
      </w:r>
      <w:r>
        <w:t xml:space="preserve">: stat = 4.27,</w:t>
      </w:r>
      <w:r>
        <w:t xml:space="preserve"> </w:t>
      </w:r>
      <w:r>
        <w:rPr>
          <w:bCs/>
          <w:b/>
        </w:rPr>
        <w:t xml:space="preserve">p = 0.429 → well specified.</w:t>
      </w:r>
    </w:p>
    <w:p>
      <w:pPr>
        <w:pStyle w:val="BodyText"/>
      </w:pPr>
      <w:r>
        <w:t xml:space="preserve">The fully-specified models (</w:t>
      </w:r>
      <w:r>
        <w:rPr>
          <w:rStyle w:val="VerbatimChar"/>
        </w:rPr>
        <w:t xml:space="preserve">probit2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logit1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logit2</w:t>
      </w:r>
      <w:r>
        <w:t xml:space="preserve">)</w:t>
      </w:r>
      <w:r>
        <w:t xml:space="preserve"> </w:t>
      </w:r>
      <w:r>
        <w:rPr>
          <w:bCs/>
          <w:b/>
        </w:rPr>
        <w:t xml:space="preserve">all pass</w:t>
      </w:r>
      <w:r>
        <w:t xml:space="preserve"> </w:t>
      </w:r>
      <w:r>
        <w:t xml:space="preserve">their specification tests (p &gt; 0.05), so the insignificance of</w:t>
      </w:r>
      <w:r>
        <w:t xml:space="preserve"> </w:t>
      </w:r>
      <w:r>
        <w:rPr>
          <w:rStyle w:val="VerbatimChar"/>
        </w:rPr>
        <w:t xml:space="preserve">ring_longer</w:t>
      </w:r>
      <w:r>
        <w:t xml:space="preserve"> </w:t>
      </w:r>
      <w:r>
        <w:t xml:space="preserve">comes from sound models →</w:t>
      </w:r>
      <w:r>
        <w:t xml:space="preserve"> </w:t>
      </w:r>
      <w:r>
        <w:rPr>
          <w:bCs/>
          <w:b/>
        </w:rPr>
        <w:t xml:space="preserve">conclusion (d) is valid</w:t>
      </w:r>
      <w:r>
        <w:t xml:space="preserve">. Only the deliberately bare</w:t>
      </w:r>
      <w:r>
        <w:t xml:space="preserve"> </w:t>
      </w:r>
      <w:r>
        <w:rPr>
          <w:rStyle w:val="VerbatimChar"/>
        </w:rPr>
        <w:t xml:space="preserve">probit1</w:t>
      </w:r>
      <w:r>
        <w:t xml:space="preserve"> </w:t>
      </w:r>
      <w:r>
        <w:t xml:space="preserve">fails its fit test, which is expected for an under-specified model.</w:t>
      </w:r>
    </w:p>
    <w:p>
      <w:pPr>
        <w:pStyle w:val="BlockText"/>
      </w:pPr>
      <w:r>
        <w:rPr>
          <w:bCs/>
          <w:b/>
        </w:rPr>
        <w:t xml:space="preserve">Cross-dataset takeaway:</w:t>
      </w:r>
      <w:r>
        <w:t xml:space="preserve"> </w:t>
      </w:r>
      <w:r>
        <w:t xml:space="preserve">the digit-ratio effect appears strong for tickets (Poisson) and grades (ordered) but</w:t>
      </w:r>
      <w:r>
        <w:t xml:space="preserve"> </w:t>
      </w:r>
      <w:r>
        <w:rPr>
          <w:bCs/>
          <w:b/>
        </w:rPr>
        <w:t xml:space="preserve">vanishes</w:t>
      </w:r>
      <w:r>
        <w:t xml:space="preserve"> </w:t>
      </w:r>
      <w:r>
        <w:t xml:space="preserve">for credit approval — a nice illustration that a</w:t>
      </w:r>
      <w:r>
        <w:t xml:space="preserve"> </w:t>
      </w:r>
      <w:r>
        <w:t xml:space="preserve">“</w:t>
      </w:r>
      <w:r>
        <w:t xml:space="preserve">result</w:t>
      </w:r>
      <w:r>
        <w:t xml:space="preserve">”</w:t>
      </w:r>
      <w:r>
        <w:t xml:space="preserve"> </w:t>
      </w:r>
      <w:r>
        <w:t xml:space="preserve">can be model/context-specific, and that specification tests are what license you to trust (or distrust) each conclusion.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29d8581d5525b5f8d860939994cab91ccf5a149"/>
    <w:p>
      <w:pPr>
        <w:pStyle w:val="Heading2"/>
      </w:pPr>
      <w:r>
        <w:t xml:space="preserve">Exercise 3 (40%) — Boeing vs Airbus: cointegration. α = 5%. Critical value =</w:t>
      </w:r>
      <w:r>
        <w:t xml:space="preserve"> </w:t>
      </w:r>
      <w:r>
        <w:rPr>
          <w:bCs/>
          <w:b/>
        </w:rPr>
        <w:t xml:space="preserve">−3.67</w:t>
      </w:r>
    </w:p>
    <w:p>
      <w:pPr>
        <w:pStyle w:val="FirstParagraph"/>
      </w:pPr>
      <w:r>
        <w:t xml:space="preserve">Daily close prices. Figures 2 (two-scale), 3 (single-scale levels), 4 (logs).</w:t>
      </w:r>
    </w:p>
    <w:p>
      <w:pPr>
        <w:pStyle w:val="BodyText"/>
      </w:pPr>
      <w:r>
        <w:rPr>
          <w:bCs/>
          <w:b/>
        </w:rPr>
        <w:t xml:space="preserve">a) (5%) Which figure is best for visually inspecting cointegration?</w:t>
      </w:r>
      <w:r>
        <w:t xml:space="preserve"> </w:t>
      </w:r>
      <w:r>
        <w:t xml:space="preserve">Not</w:t>
      </w:r>
      <w:r>
        <w:t xml:space="preserve"> </w:t>
      </w:r>
      <w:r>
        <w:rPr>
          <w:bCs/>
          <w:b/>
        </w:rPr>
        <w:t xml:space="preserve">Figure 2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two-scale</w:t>
      </w:r>
      <w:r>
        <w:t xml:space="preserve"> </w:t>
      </w:r>
      <w:r>
        <w:t xml:space="preserve">plot can</w:t>
      </w:r>
      <w:r>
        <w:t xml:space="preserve"> </w:t>
      </w:r>
      <w:r>
        <w:rPr>
          <w:iCs/>
          <w:i/>
        </w:rPr>
        <w:t xml:space="preserve">fabricate</w:t>
      </w:r>
      <w:r>
        <w:t xml:space="preserve"> </w:t>
      </w:r>
      <w:r>
        <w:t xml:space="preserve">apparent co-movement by rescaling the axes independently, so it’s misleading for judging a stable long-run relationship. The cointegration test here is run on</w:t>
      </w:r>
      <w:r>
        <w:t xml:space="preserve"> </w:t>
      </w:r>
      <w:r>
        <w:rPr>
          <w:bCs/>
          <w:b/>
        </w:rPr>
        <w:t xml:space="preserve">levels</w:t>
      </w:r>
      <w:r>
        <w:t xml:space="preserve"> </w:t>
      </w:r>
      <w:r>
        <w:t xml:space="preserve">(</w:t>
      </w:r>
      <w:r>
        <w:rPr>
          <w:rStyle w:val="VerbatimChar"/>
        </w:rPr>
        <w:t xml:space="preserve">boeing ~ airbus</w:t>
      </w:r>
      <w:r>
        <w:t xml:space="preserve">), so</w:t>
      </w:r>
      <w:r>
        <w:t xml:space="preserve"> </w:t>
      </w:r>
      <w:r>
        <w:rPr>
          <w:bCs/>
          <w:b/>
        </w:rPr>
        <w:t xml:space="preserve">Figure 3 (single common scale, levels)</w:t>
      </w:r>
      <w:r>
        <w:t xml:space="preserve"> </w:t>
      </w:r>
      <w:r>
        <w:t xml:space="preserve">is the most faithful: with both series on one axis you can actually see whether the gap between them stays bounded. (Figure 4’s logs correspond to a</w:t>
      </w:r>
      <w:r>
        <w:t xml:space="preserve"> </w:t>
      </w:r>
      <w:r>
        <w:rPr>
          <w:iCs/>
          <w:i/>
        </w:rPr>
        <w:t xml:space="preserve">different</w:t>
      </w:r>
      <w:r>
        <w:t xml:space="preserve">, log-level relationship than the one tested.) →</w:t>
      </w:r>
      <w:r>
        <w:t xml:space="preserve"> </w:t>
      </w:r>
      <w:r>
        <w:rPr>
          <w:bCs/>
          <w:b/>
        </w:rPr>
        <w:t xml:space="preserve">Figure 3.</w:t>
      </w:r>
    </w:p>
    <w:p>
      <w:pPr>
        <w:pStyle w:val="BodyText"/>
      </w:pPr>
      <w:r>
        <w:rPr>
          <w:bCs/>
          <w:b/>
        </w:rPr>
        <w:t xml:space="preserve">b) (10%) Does visual inspection prove cointegration?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A plot can only</w:t>
      </w:r>
      <w:r>
        <w:t xml:space="preserve"> </w:t>
      </w:r>
      <w:r>
        <w:rPr>
          <w:iCs/>
          <w:i/>
        </w:rPr>
        <w:t xml:space="preserve">suggest</w:t>
      </w:r>
      <w:r>
        <w:t xml:space="preserve"> </w:t>
      </w:r>
      <w:r>
        <w:t xml:space="preserve">co-movement; it can never prove cointegration. Two independent I(1) series can drift together by chance (spurious). Proof requires the formal steps: confirm both are I(1), then test residual stationarity against the special cointegration critical value.</w:t>
      </w:r>
    </w:p>
    <w:p>
      <w:pPr>
        <w:pStyle w:val="BodyText"/>
      </w:pPr>
      <w:r>
        <w:rPr>
          <w:bCs/>
          <w:b/>
        </w:rPr>
        <w:t xml:space="preserve">c) (10%) Are they cointegrated?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Both I(1):</w:t>
      </w:r>
      <w:r>
        <w:t xml:space="preserve"> </w:t>
      </w:r>
      <w:r>
        <w:t xml:space="preserve">Boeing — testdf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at the clean-BG augmentation gives ADF = 0.909 (p = 0.99, non-stationary), difference stationary ⇒ I(1). Airbus —</w:t>
      </w:r>
      <w:r>
        <w:t xml:space="preserve"> </w:t>
      </w:r>
      <w:r>
        <w:rPr>
          <w:bCs/>
          <w:b/>
        </w:rPr>
        <w:t xml:space="preserve">PP</w:t>
      </w:r>
      <w:r>
        <w:t xml:space="preserve"> </w:t>
      </w:r>
      <w:r>
        <w:t xml:space="preserve">= −0.131 &gt; −2.863 (non-stationary),</w:t>
      </w:r>
      <w:r>
        <w:t xml:space="preserve"> </w:t>
      </w:r>
      <w:r>
        <w:rPr>
          <w:bCs/>
          <w:b/>
        </w:rPr>
        <w:t xml:space="preserve">KPSS on the difference</w:t>
      </w:r>
      <w:r>
        <w:t xml:space="preserve"> </w:t>
      </w:r>
      <w:r>
        <w:t xml:space="preserve">= 0.209 &lt; 0.463 (difference stationary) ⇒ I(1).</w:t>
      </w:r>
      <w:r>
        <w:t xml:space="preserve"> </w:t>
      </w:r>
      <w:r>
        <w:t xml:space="preserve">2. Cointegrating regression</w:t>
      </w:r>
      <w:r>
        <w:t xml:space="preserve"> </w:t>
      </w:r>
      <w:r>
        <w:rPr>
          <w:rStyle w:val="VerbatimChar"/>
        </w:rPr>
        <w:t xml:space="preserve">boeing ~ airbus</w:t>
      </w:r>
      <w:r>
        <w:t xml:space="preserve">: slope</w:t>
      </w:r>
      <w:r>
        <w:t xml:space="preserve"> </w:t>
      </w:r>
      <w:r>
        <w:rPr>
          <w:bCs/>
          <w:b/>
        </w:rPr>
        <w:t xml:space="preserve">2.948</w:t>
      </w:r>
      <w:r>
        <w:t xml:space="preserve">*, R² = 0.881</w:t>
      </w:r>
      <w:r>
        <w:rPr>
          <w:bCs/>
          <w:b/>
        </w:rPr>
        <w:t xml:space="preserve">.</w:t>
      </w:r>
      <w:r>
        <w:rPr>
          <w:bCs/>
          <w:b/>
        </w:rPr>
        <w:t xml:space="preserve"> </w:t>
      </w: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t xml:space="preserve">Residual ADF</w:t>
      </w:r>
      <w:r>
        <w:rPr>
          <w:bCs/>
          <w:b/>
        </w:rPr>
        <w:t xml:space="preserve"> </w:t>
      </w:r>
      <w:r>
        <w:rPr>
          <w:bCs/>
          <w:b/>
        </w:rPr>
        <w:t xml:space="preserve">(testdf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nc</w:t>
      </w:r>
      <w:r>
        <w:rPr>
          <w:bCs/>
          <w:b/>
        </w:rPr>
        <w:t xml:space="preserve">”</w:t>
      </w:r>
      <w:r>
        <w:rPr>
          <w:bCs/>
          <w:b/>
        </w:rPr>
        <w:t xml:space="preserve">, first clean-BG augmentation = aug1):</w:t>
      </w:r>
      <w:r>
        <w:rPr>
          <w:bCs/>
          <w:b/>
        </w:rPr>
        <w:t xml:space="preserve"> </w:t>
      </w:r>
      <w:r>
        <w:t xml:space="preserve">−1.996</w:t>
      </w:r>
      <w:r>
        <w:rPr>
          <w:bCs/>
          <w:b/>
        </w:rPr>
        <w:t xml:space="preserve">. Compare to the cointegration critical value</w:t>
      </w:r>
      <w:r>
        <w:rPr>
          <w:bCs/>
          <w:b/>
        </w:rPr>
        <w:t xml:space="preserve"> </w:t>
      </w:r>
      <w:r>
        <w:t xml:space="preserve">−3.67</w:t>
      </w:r>
      <w:r>
        <w:rPr>
          <w:bCs/>
          <w:b/>
        </w:rPr>
        <w:t xml:space="preserve">: −1.996 is</w:t>
      </w:r>
      <w:r>
        <w:rPr>
          <w:bCs/>
          <w:b/>
        </w:rPr>
        <w:t xml:space="preserve"> </w:t>
      </w:r>
      <w: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more negative than −3.67 ⇒</w:t>
      </w:r>
      <w:r>
        <w:rPr>
          <w:bCs/>
          <w:b/>
        </w:rPr>
        <w:t xml:space="preserve"> </w:t>
      </w:r>
      <w:r>
        <w:t xml:space="preserve">fail to reject the unit root ⇒ residuals non-stationary ⇒ NOT cointegrated.**</w:t>
      </w:r>
    </w:p>
    <w:p>
      <w:pPr>
        <w:pStyle w:val="BodyText"/>
      </w:pPr>
      <w:r>
        <w:rPr>
          <w:bCs/>
          <w:b/>
        </w:rPr>
        <w:t xml:space="preserve">d) (10%) Interpret the ECM.</w:t>
      </w:r>
      <w:r>
        <w:t xml:space="preserve"> </w:t>
      </w:r>
      <w:r>
        <w:rPr>
          <w:rStyle w:val="VerbatimChar"/>
        </w:rPr>
        <w:t xml:space="preserve">Δboeing = 0.836·Δairbus − 0.00109·lresid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Δairbus = 0.836</w:t>
      </w:r>
      <w:r>
        <w:t xml:space="preserve">* — short-run co-movement** (a same-day move in Airbus’s change maps to 0.836 of Boeing’s change).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lresid = −0.00109, t = −0.757, p = 0.449 — INSIGNIFICANT.</w:t>
      </w:r>
      <w:r>
        <w:t xml:space="preserve"> </w:t>
      </w:r>
      <w:r>
        <w:t xml:space="preserve">The speed-of-adjustment term is essentially</w:t>
      </w:r>
      <w:r>
        <w:t xml:space="preserve"> </w:t>
      </w:r>
      <w:r>
        <w:rPr>
          <w:bCs/>
          <w:b/>
        </w:rPr>
        <w:t xml:space="preserve">zero and not significant</w:t>
      </w:r>
      <w:r>
        <w:t xml:space="preserve">, so there is</w:t>
      </w:r>
      <w:r>
        <w:t xml:space="preserve"> </w:t>
      </w:r>
      <w:r>
        <w:rPr>
          <w:bCs/>
          <w:b/>
        </w:rPr>
        <w:t xml:space="preserve">no error correction</w:t>
      </w:r>
      <w:r>
        <w:t xml:space="preserve"> </w:t>
      </w:r>
      <w:r>
        <w:t xml:space="preserve">— nothing pulls the pair back toward an equilibrium. This is fully consistent with (c): they are</w:t>
      </w:r>
      <w:r>
        <w:t xml:space="preserve"> </w:t>
      </w:r>
      <w:r>
        <w:rPr>
          <w:bCs/>
          <w:b/>
        </w:rPr>
        <w:t xml:space="preserve">not cointegrated</w:t>
      </w:r>
      <w:r>
        <w:t xml:space="preserve">, so the</w:t>
      </w:r>
      <w:r>
        <w:t xml:space="preserve"> </w:t>
      </w:r>
      <w:r>
        <w:t xml:space="preserve">“</w:t>
      </w:r>
      <w:r>
        <w:t xml:space="preserve">equilibrium</w:t>
      </w:r>
      <w:r>
        <w:t xml:space="preserve">”</w:t>
      </w:r>
      <w:r>
        <w:t xml:space="preserve"> </w:t>
      </w:r>
      <w:r>
        <w:t xml:space="preserve">doesn’t exist and the ECM term correctly fails to show adjustment.</w:t>
      </w:r>
    </w:p>
    <w:p>
      <w:pPr>
        <w:pStyle w:val="BodyText"/>
      </w:pPr>
      <w:r>
        <w:rPr>
          <w:bCs/>
          <w:b/>
        </w:rPr>
        <w:t xml:space="preserve">e) (5%) Real or spurious?</w:t>
      </w:r>
      <w:r>
        <w:t xml:space="preserve"> </w:t>
      </w:r>
      <w:r>
        <w:rPr>
          <w:bCs/>
          <w:b/>
        </w:rPr>
        <w:t xml:space="preserve">Spurious.</w:t>
      </w:r>
      <w:r>
        <w:t xml:space="preserve"> </w:t>
      </w:r>
      <w:r>
        <w:t xml:space="preserve">Both series are I(1) but</w:t>
      </w:r>
      <w:r>
        <w:t xml:space="preserve"> </w:t>
      </w:r>
      <w:r>
        <w:rPr>
          <w:bCs/>
          <w:b/>
        </w:rPr>
        <w:t xml:space="preserve">not cointegrated</w:t>
      </w:r>
      <w:r>
        <w:t xml:space="preserve"> </w:t>
      </w:r>
      <w:r>
        <w:t xml:space="preserve">(residual ADF −1.996 &gt; −3.67; ECM term insignificant). The high R² = 0.881 is the</w:t>
      </w:r>
      <w:r>
        <w:t xml:space="preserve"> </w:t>
      </w:r>
      <w:r>
        <w:rPr>
          <w:bCs/>
          <w:b/>
        </w:rPr>
        <w:t xml:space="preserve">classic spurious-regression mirage</w:t>
      </w:r>
      <w:r>
        <w:t xml:space="preserve"> </w:t>
      </w:r>
      <w:r>
        <w:t xml:space="preserve">— two separately-trending I(1) stocks. There’s no genuine long-run equilibrium tethering Boeing to Airbus here.</w:t>
      </w:r>
    </w:p>
    <w:p>
      <w:r>
        <w:pict>
          <v:rect style="width:0;height:1.5pt" o:hralign="center" o:hrstd="t" o:hr="t"/>
        </w:pict>
      </w:r>
    </w:p>
    <w:bookmarkEnd w:id="25"/>
    <w:bookmarkStart w:id="26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in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Time-invariant ⇒ wiped out by the within transformation in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Hausman p=1.8e-6 ⇒ reject ⇒</w:t>
            </w:r>
            <w:r>
              <w:t xml:space="preserve"> </w:t>
            </w:r>
            <w:r>
              <w:rPr>
                <w:bCs/>
                <w:b/>
              </w:rPr>
              <w:t xml:space="preserve">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pFtest &amp; BP reject pooled, Hausman ⇒</w:t>
            </w:r>
            <w:r>
              <w:t xml:space="preserve"> </w:t>
            </w:r>
            <w:r>
              <w:rPr>
                <w:bCs/>
                <w:b/>
              </w:rPr>
              <w:t xml:space="preserve">FE</w:t>
            </w:r>
            <w:r>
              <w:t xml:space="preserve"> </w:t>
            </w:r>
            <w:r>
              <w:t xml:space="preserve">is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Prenatal care ⇒ Cov(X,ζ)≠0 ⇒ RE inconsistent ⇒</w:t>
            </w:r>
            <w:r>
              <w:t xml:space="preserve"> </w:t>
            </w:r>
            <w:r>
              <w:rPr>
                <w:bCs/>
                <w:b/>
              </w:rPr>
              <w:t xml:space="preserve">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ringfnglngr</w:t>
            </w:r>
            <w:r>
              <w:t xml:space="preserve"> </w:t>
            </w:r>
            <w:r>
              <w:t xml:space="preserve">+0.264*** (IRR 1.30) ⇒</w:t>
            </w:r>
            <w:r>
              <w:t xml:space="preserve"> </w:t>
            </w:r>
            <w:r>
              <w:rPr>
                <w:bCs/>
                <w:b/>
              </w:rPr>
              <w:t xml:space="preserve">supports</w:t>
            </w:r>
            <w:r>
              <w:t xml:space="preserve"> </w:t>
            </w:r>
            <w:r>
              <w:t xml:space="preserve">(more tickets)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2b/2c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 −11.13*** ⇒ supports; Lipsitz p=0.76 ⇒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2d/2e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ring_longer</w:t>
            </w:r>
            <w:r>
              <w:t xml:space="preserve"> </w:t>
            </w:r>
            <w:r>
              <w:t xml:space="preserve">ns in credit ⇒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supported; spec tests pass ⇒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ADF −1.996 &gt; −3.67 ⇒</w:t>
            </w:r>
            <w:r>
              <w:t xml:space="preserve"> </w:t>
            </w:r>
            <w:r>
              <w:rPr>
                <w:bCs/>
                <w:b/>
              </w:rPr>
              <w:t xml:space="preserve">NOT cointegrated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−0.0011</w:t>
            </w:r>
            <w:r>
              <w:t xml:space="preserve"> </w:t>
            </w:r>
            <w:r>
              <w:rPr>
                <w:bCs/>
                <w:b/>
              </w:rPr>
              <w:t xml:space="preserve">insignificant</w:t>
            </w:r>
            <w:r>
              <w:t xml:space="preserve"> </w:t>
            </w:r>
            <w:r>
              <w:t xml:space="preserve">⇒ no error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Spurious</w:t>
            </w:r>
            <w:r>
              <w:t xml:space="preserve"> </w:t>
            </w:r>
            <w:r>
              <w:t xml:space="preserve">(I(1), not cointegrated; high R² is the mirage)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2026-08-16T19:43:22Z</dcterms:created>
  <dcterms:modified xsi:type="dcterms:W3CDTF">2026-08-16T19:43:22Z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