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Times New Roman" w:cs="Times New Roman" w:ascii="Times New Roman" w:hAnsi="Times New Roman"/>
          <w:b/>
          <w:bCs/>
          <w:sz w:val="36"/>
          <w:szCs w:val="36"/>
        </w:rPr>
        <w:t>Attention as a Scarce Resource:</w:t>
      </w:r>
    </w:p>
    <w:p>
      <w:pPr>
        <w:pStyle w:val="Normal"/>
        <w:spacing w:before="0" w:after="80"/>
        <w:jc w:val="center"/>
        <w:rPr/>
      </w:pPr>
      <w:r>
        <w:rPr>
          <w:rFonts w:eastAsia="Times New Roman" w:cs="Times New Roman" w:ascii="Times New Roman" w:hAnsi="Times New Roman"/>
          <w:b/>
          <w:bCs/>
          <w:sz w:val="36"/>
          <w:szCs w:val="36"/>
        </w:rPr>
        <w:t>Boredom, Information Overload, and a Simple Microeconomic Model</w:t>
      </w:r>
    </w:p>
    <w:p>
      <w:pPr>
        <w:pStyle w:val="Normal"/>
        <w:spacing w:before="0" w:after="600"/>
        <w:jc w:val="center"/>
        <w:rPr/>
      </w:pPr>
      <w:r>
        <w:rPr>
          <w:rFonts w:eastAsia="Times New Roman" w:cs="Times New Roman" w:ascii="Times New Roman" w:hAnsi="Times New Roman"/>
          <w:i/>
          <w:iCs/>
          <w:sz w:val="28"/>
          <w:szCs w:val="28"/>
        </w:rPr>
        <w:t>Home Exam – Task 1</w:t>
      </w:r>
    </w:p>
    <w:p>
      <w:pPr>
        <w:pStyle w:val="Heading1"/>
        <w:spacing w:before="360" w:after="200"/>
        <w:rPr/>
      </w:pPr>
      <w:r>
        <w:rPr>
          <w:rFonts w:eastAsia="Times New Roman" w:cs="Times New Roman" w:ascii="Times New Roman" w:hAnsi="Times New Roman"/>
          <w:b/>
          <w:bCs/>
          <w:sz w:val="32"/>
          <w:szCs w:val="32"/>
        </w:rPr>
        <w:t>Part 1: Microeconomic Analysis and Model</w:t>
      </w:r>
    </w:p>
    <w:p>
      <w:pPr>
        <w:pStyle w:val="Heading2"/>
        <w:spacing w:before="360" w:after="200"/>
        <w:rPr/>
      </w:pPr>
      <w:r>
        <w:rPr>
          <w:rFonts w:eastAsia="Times New Roman" w:cs="Times New Roman" w:ascii="Times New Roman" w:hAnsi="Times New Roman"/>
          <w:b/>
          <w:bCs/>
          <w:sz w:val="28"/>
          <w:szCs w:val="28"/>
        </w:rPr>
        <w:t>1.1 Introduction: Attention as the Binding Constraint</w:t>
      </w:r>
    </w:p>
    <w:p>
      <w:pPr>
        <w:pStyle w:val="Normal"/>
        <w:spacing w:lineRule="exact" w:line="360" w:before="0" w:after="200"/>
        <w:jc w:val="both"/>
        <w:rPr/>
      </w:pPr>
      <w:r>
        <w:rPr>
          <w:rFonts w:eastAsia="Times New Roman" w:cs="Times New Roman" w:ascii="Times New Roman" w:hAnsi="Times New Roman"/>
          <w:sz w:val="24"/>
          <w:szCs w:val="24"/>
        </w:rPr>
        <w:t xml:space="preserve">Classical economics treats information as a good and time as a constraint, but both traditions assume that processing is essentially free – once you have access to data and a free hour, learning happens automatically. The three readings assigned for this task challenge that assumption from different directions. Maćkowiak, Matějka, and Wiederholt (2021) formalize the idea that information processing itself is costly: an agent faces a Shannon-type channel capacity and must choose </w:t>
      </w:r>
      <w:r>
        <w:rPr>
          <w:rFonts w:eastAsia="Times New Roman" w:cs="Times New Roman" w:ascii="Times New Roman" w:hAnsi="Times New Roman"/>
          <w:i/>
          <w:iCs/>
          <w:sz w:val="24"/>
          <w:szCs w:val="24"/>
        </w:rPr>
        <w:t>what</w:t>
      </w:r>
      <w:r>
        <w:rPr>
          <w:rFonts w:eastAsia="Times New Roman" w:cs="Times New Roman" w:ascii="Times New Roman" w:hAnsi="Times New Roman"/>
          <w:sz w:val="24"/>
          <w:szCs w:val="24"/>
        </w:rPr>
        <w:t xml:space="preserve"> to learn, not just </w:t>
      </w:r>
      <w:r>
        <w:rPr>
          <w:rFonts w:eastAsia="Times New Roman" w:cs="Times New Roman" w:ascii="Times New Roman" w:hAnsi="Times New Roman"/>
          <w:i/>
          <w:iCs/>
          <w:sz w:val="24"/>
          <w:szCs w:val="24"/>
        </w:rPr>
        <w:t>whether</w:t>
      </w:r>
      <w:r>
        <w:rPr>
          <w:rFonts w:eastAsia="Times New Roman" w:cs="Times New Roman" w:ascii="Times New Roman" w:hAnsi="Times New Roman"/>
          <w:sz w:val="24"/>
          <w:szCs w:val="24"/>
        </w:rPr>
        <w:t xml:space="preserve"> to learn. Wojtowicz, Chater, and Loewenstein (2023) add a psychological mechanism: boredom serves as a real-time signal that the opportunity cost of the current activity has risen above its marginal return, pushing the agent toward exploration. Finally, Loewenstein and Wojtowicz (2025) zoom out and treat attention itself as an economic resource – one that external platforms actively compete to capture, creating externalities that distort the agent’s allocation. Together, these three papers give us the building blocks of what I will try to assemble here: a simple micro model in which attention is the scarce resource, boredom is the reallocation mechanism, and information overload arises when the environment exploits the gap between internal capacity and external demand.</w:t>
      </w:r>
    </w:p>
    <w:p>
      <w:pPr>
        <w:pStyle w:val="Heading2"/>
        <w:spacing w:before="360" w:after="200"/>
        <w:rPr/>
      </w:pPr>
      <w:r>
        <w:rPr>
          <w:rFonts w:eastAsia="Times New Roman" w:cs="Times New Roman" w:ascii="Times New Roman" w:hAnsi="Times New Roman"/>
          <w:b/>
          <w:bCs/>
          <w:sz w:val="28"/>
          <w:szCs w:val="28"/>
        </w:rPr>
        <w:t>1.2 Defining the Scarce Resource and the Decision Problem</w:t>
      </w:r>
    </w:p>
    <w:p>
      <w:pPr>
        <w:pStyle w:val="Normal"/>
        <w:spacing w:lineRule="exact" w:line="360" w:before="0" w:after="200"/>
        <w:jc w:val="both"/>
        <w:rPr/>
      </w:pPr>
      <w:r>
        <w:rPr>
          <w:rFonts w:eastAsia="Times New Roman" w:cs="Times New Roman" w:ascii="Times New Roman" w:hAnsi="Times New Roman"/>
          <w:sz w:val="24"/>
          <w:szCs w:val="24"/>
        </w:rPr>
        <w:t xml:space="preserve">Let an agent have a fixed cognitive capacity </w:t>
      </w:r>
      <w:r>
        <w:rPr>
          <w:rFonts w:eastAsia="Times New Roman" w:cs="Times New Roman" w:ascii="Times New Roman" w:hAnsi="Times New Roman"/>
          <w:i/>
          <w:iCs/>
          <w:sz w:val="24"/>
          <w:szCs w:val="24"/>
        </w:rPr>
        <w:t>K</w:t>
      </w:r>
      <w:r>
        <w:rPr>
          <w:rFonts w:eastAsia="Times New Roman" w:cs="Times New Roman" w:ascii="Times New Roman" w:hAnsi="Times New Roman"/>
          <w:sz w:val="24"/>
          <w:szCs w:val="24"/>
        </w:rPr>
        <w:t xml:space="preserve"> (measured in bits per unit time, following Shannon’s framework as adopted by Maćkowiak et al.). The agent faces </w:t>
      </w:r>
      <w:r>
        <w:rPr>
          <w:rFonts w:eastAsia="Times New Roman" w:cs="Times New Roman" w:ascii="Times New Roman" w:hAnsi="Times New Roman"/>
          <w:i/>
          <w:iCs/>
          <w:sz w:val="24"/>
          <w:szCs w:val="24"/>
        </w:rPr>
        <w:t>N</w:t>
      </w:r>
      <w:r>
        <w:rPr>
          <w:rFonts w:eastAsia="Times New Roman" w:cs="Times New Roman" w:ascii="Times New Roman" w:hAnsi="Times New Roman"/>
          <w:sz w:val="24"/>
          <w:szCs w:val="24"/>
        </w:rPr>
        <w:t xml:space="preserve"> information sources – for concreteness, think of three academic articles, a social media feed, and ambient environmental stimuli. Each source </w:t>
      </w:r>
      <w:r>
        <w:rPr>
          <w:rFonts w:eastAsia="Times New Roman" w:cs="Times New Roman" w:ascii="Times New Roman" w:hAnsi="Times New Roman"/>
          <w:i/>
          <w:iCs/>
          <w:sz w:val="24"/>
          <w:szCs w:val="24"/>
        </w:rPr>
        <w:t>i</w:t>
      </w:r>
      <w:r>
        <w:rPr>
          <w:rFonts w:eastAsia="Times New Roman" w:cs="Times New Roman" w:ascii="Times New Roman" w:hAnsi="Times New Roman"/>
          <w:sz w:val="24"/>
          <w:szCs w:val="24"/>
        </w:rPr>
        <w:t xml:space="preserve"> yields a return </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that depends on the attention </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allocated to it, where </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is concave (diminishing returns to attention within any single source). The agent’s problem is:</w:t>
      </w:r>
    </w:p>
    <w:p>
      <w:pPr>
        <w:pStyle w:val="Normal"/>
        <w:spacing w:before="200" w:after="200"/>
        <w:jc w:val="center"/>
        <w:rPr/>
      </w:pPr>
      <w:r>
        <w:rPr>
          <w:rFonts w:eastAsia="Times New Roman" w:cs="Times New Roman" w:ascii="Times New Roman" w:hAnsi="Times New Roman"/>
          <w:sz w:val="24"/>
          <w:szCs w:val="24"/>
        </w:rPr>
        <w:t xml:space="preserve">max </w:t>
      </w:r>
      <w:r>
        <w:rPr>
          <w:rFonts w:eastAsia="Times New Roman" w:cs="Times New Roman" w:ascii="Times New Roman" w:hAnsi="Times New Roman"/>
          <w:i/>
          <w:iCs/>
          <w:sz w:val="24"/>
          <w:szCs w:val="24"/>
        </w:rPr>
        <w:t>Σ</w:t>
      </w:r>
      <w:r>
        <w:rPr>
          <w:rFonts w:eastAsia="Times New Roman" w:cs="Times New Roman" w:ascii="Times New Roman" w:hAnsi="Times New Roman"/>
          <w:sz w:val="24"/>
          <w:szCs w:val="24"/>
          <w:vertAlign w:val="superscript"/>
        </w:rPr>
        <w:t>N</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subject to   </w:t>
      </w:r>
      <w:r>
        <w:rPr>
          <w:rFonts w:eastAsia="Times New Roman" w:cs="Times New Roman" w:ascii="Times New Roman" w:hAnsi="Times New Roman"/>
          <w:i/>
          <w:iCs/>
          <w:sz w:val="24"/>
          <w:szCs w:val="24"/>
        </w:rPr>
        <w:t>Σ a</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 </w:t>
      </w:r>
      <w:r>
        <w:rPr>
          <w:rFonts w:eastAsia="Times New Roman" w:cs="Times New Roman" w:ascii="Times New Roman" w:hAnsi="Times New Roman"/>
          <w:i/>
          <w:iCs/>
          <w:sz w:val="24"/>
          <w:szCs w:val="24"/>
        </w:rPr>
        <w:t>K</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 0 for all </w:t>
      </w:r>
      <w:r>
        <w:rPr>
          <w:rFonts w:eastAsia="Times New Roman" w:cs="Times New Roman" w:ascii="Times New Roman" w:hAnsi="Times New Roman"/>
          <w:i/>
          <w:iCs/>
          <w:sz w:val="24"/>
          <w:szCs w:val="24"/>
        </w:rPr>
        <w:t>i</w:t>
      </w:r>
    </w:p>
    <w:p>
      <w:pPr>
        <w:pStyle w:val="Normal"/>
        <w:spacing w:lineRule="exact" w:line="360" w:before="0" w:after="200"/>
        <w:jc w:val="both"/>
        <w:rPr/>
      </w:pPr>
      <w:r>
        <w:rPr>
          <w:rFonts w:eastAsia="Times New Roman" w:cs="Times New Roman" w:ascii="Times New Roman" w:hAnsi="Times New Roman"/>
          <w:sz w:val="24"/>
          <w:szCs w:val="24"/>
        </w:rPr>
        <w:t xml:space="preserve">This is, at its core, a standard resource-allocation problem. The first-order condition requires that the marginal return of attention be equalized across all active sources at a common shadow price </w:t>
      </w:r>
      <w:r>
        <w:rPr>
          <w:rFonts w:eastAsia="Times New Roman" w:cs="Times New Roman" w:ascii="Times New Roman" w:hAnsi="Times New Roman"/>
          <w:i/>
          <w:iCs/>
          <w:sz w:val="24"/>
          <w:szCs w:val="24"/>
        </w:rPr>
        <w:t>λ</w:t>
      </w:r>
      <w:r>
        <w:rPr>
          <w:rFonts w:eastAsia="Times New Roman" w:cs="Times New Roman" w:ascii="Times New Roman" w:hAnsi="Times New Roman"/>
          <w:sz w:val="24"/>
          <w:szCs w:val="24"/>
        </w:rPr>
        <w:t xml:space="preserve">. Any source whose marginal return falls below </w:t>
      </w:r>
      <w:r>
        <w:rPr>
          <w:rFonts w:eastAsia="Times New Roman" w:cs="Times New Roman" w:ascii="Times New Roman" w:hAnsi="Times New Roman"/>
          <w:i/>
          <w:iCs/>
          <w:sz w:val="24"/>
          <w:szCs w:val="24"/>
        </w:rPr>
        <w:t>λ</w:t>
      </w:r>
      <w:r>
        <w:rPr>
          <w:rFonts w:eastAsia="Times New Roman" w:cs="Times New Roman" w:ascii="Times New Roman" w:hAnsi="Times New Roman"/>
          <w:sz w:val="24"/>
          <w:szCs w:val="24"/>
        </w:rPr>
        <w:t xml:space="preserve"> receives zero attention. The shadow price </w:t>
      </w:r>
      <w:r>
        <w:rPr>
          <w:rFonts w:eastAsia="Times New Roman" w:cs="Times New Roman" w:ascii="Times New Roman" w:hAnsi="Times New Roman"/>
          <w:i/>
          <w:iCs/>
          <w:sz w:val="24"/>
          <w:szCs w:val="24"/>
        </w:rPr>
        <w:t>λ</w:t>
      </w:r>
      <w:r>
        <w:rPr>
          <w:rFonts w:eastAsia="Times New Roman" w:cs="Times New Roman" w:ascii="Times New Roman" w:hAnsi="Times New Roman"/>
          <w:sz w:val="24"/>
          <w:szCs w:val="24"/>
        </w:rPr>
        <w:t xml:space="preserve"> itself rises with the overall quality of the information environment – when there are many high-return sources competing for attention, the threshold for “being worth it” goes up. This already captures a core insight of rational inattention: it is </w:t>
      </w:r>
      <w:r>
        <w:rPr>
          <w:rFonts w:eastAsia="Times New Roman" w:cs="Times New Roman" w:ascii="Times New Roman" w:hAnsi="Times New Roman"/>
          <w:i/>
          <w:iCs/>
          <w:sz w:val="24"/>
          <w:szCs w:val="24"/>
        </w:rPr>
        <w:t>optimal</w:t>
      </w:r>
      <w:r>
        <w:rPr>
          <w:rFonts w:eastAsia="Times New Roman" w:cs="Times New Roman" w:ascii="Times New Roman" w:hAnsi="Times New Roman"/>
          <w:sz w:val="24"/>
          <w:szCs w:val="24"/>
        </w:rPr>
        <w:t xml:space="preserve"> to ignore most available information.</w:t>
      </w:r>
    </w:p>
    <w:p>
      <w:pPr>
        <w:pStyle w:val="Heading2"/>
        <w:spacing w:before="360" w:after="200"/>
        <w:rPr/>
      </w:pPr>
      <w:r>
        <w:rPr>
          <w:rFonts w:eastAsia="Times New Roman" w:cs="Times New Roman" w:ascii="Times New Roman" w:hAnsi="Times New Roman"/>
          <w:b/>
          <w:bCs/>
          <w:sz w:val="28"/>
          <w:szCs w:val="28"/>
        </w:rPr>
        <w:t>1.3 Introducing Dynamics: Fatigue and the Role of Boredom</w:t>
      </w:r>
    </w:p>
    <w:p>
      <w:pPr>
        <w:pStyle w:val="Normal"/>
        <w:spacing w:lineRule="exact" w:line="360" w:before="0" w:after="200"/>
        <w:jc w:val="both"/>
        <w:rPr/>
      </w:pPr>
      <w:r>
        <w:rPr>
          <w:rFonts w:eastAsia="Times New Roman" w:cs="Times New Roman" w:ascii="Times New Roman" w:hAnsi="Times New Roman"/>
          <w:sz w:val="24"/>
          <w:szCs w:val="24"/>
        </w:rPr>
        <w:t xml:space="preserve">The static model above misses something important: cognitive capacity is not constant over time. After sustained processing, fatigue accumulates. I model this by letting the effective capacity degrade: </w:t>
      </w:r>
      <w:r>
        <w:rPr>
          <w:rFonts w:eastAsia="Times New Roman" w:cs="Times New Roman" w:ascii="Times New Roman" w:hAnsi="Times New Roman"/>
          <w:i/>
          <w:iCs/>
          <w:sz w:val="24"/>
          <w:szCs w:val="24"/>
        </w:rPr>
        <w:t>K(t) = K</w:t>
      </w:r>
      <w:r>
        <w:rPr>
          <w:rFonts w:eastAsia="Times New Roman" w:cs="Times New Roman" w:ascii="Times New Roman" w:hAnsi="Times New Roman"/>
          <w:sz w:val="24"/>
          <w:szCs w:val="24"/>
          <w:vertAlign w:val="superscript"/>
        </w:rPr>
        <w:t>0</w:t>
      </w:r>
      <w:r>
        <w:rPr>
          <w:rFonts w:eastAsia="Times New Roman" w:cs="Times New Roman" w:ascii="Times New Roman" w:hAnsi="Times New Roman"/>
          <w:i/>
          <w:iCs/>
          <w:sz w:val="24"/>
          <w:szCs w:val="24"/>
        </w:rPr>
        <w:t xml:space="preserve"> · e</w:t>
      </w:r>
      <w:r>
        <w:rPr>
          <w:rFonts w:eastAsia="Times New Roman" w:cs="Times New Roman" w:ascii="Times New Roman" w:hAnsi="Times New Roman"/>
          <w:sz w:val="24"/>
          <w:szCs w:val="24"/>
          <w:vertAlign w:val="superscript"/>
        </w:rPr>
        <w:t>–δt</w:t>
      </w:r>
      <w:r>
        <w:rPr>
          <w:rFonts w:eastAsia="Times New Roman" w:cs="Times New Roman" w:ascii="Times New Roman" w:hAnsi="Times New Roman"/>
          <w:sz w:val="24"/>
          <w:szCs w:val="24"/>
        </w:rPr>
        <w:t xml:space="preserve">, where </w:t>
      </w:r>
      <w:r>
        <w:rPr>
          <w:rFonts w:eastAsia="Times New Roman" w:cs="Times New Roman" w:ascii="Times New Roman" w:hAnsi="Times New Roman"/>
          <w:i/>
          <w:iCs/>
          <w:sz w:val="24"/>
          <w:szCs w:val="24"/>
        </w:rPr>
        <w:t>δ</w:t>
      </w:r>
      <w:r>
        <w:rPr>
          <w:rFonts w:eastAsia="Times New Roman" w:cs="Times New Roman" w:ascii="Times New Roman" w:hAnsi="Times New Roman"/>
          <w:sz w:val="24"/>
          <w:szCs w:val="24"/>
        </w:rPr>
        <w:t xml:space="preserve"> &gt; 0 is a fatigue rate. As </w:t>
      </w:r>
      <w:r>
        <w:rPr>
          <w:rFonts w:eastAsia="Times New Roman" w:cs="Times New Roman" w:ascii="Times New Roman" w:hAnsi="Times New Roman"/>
          <w:i/>
          <w:iCs/>
          <w:sz w:val="24"/>
          <w:szCs w:val="24"/>
        </w:rPr>
        <w:t>K(t)</w:t>
      </w:r>
      <w:r>
        <w:rPr>
          <w:rFonts w:eastAsia="Times New Roman" w:cs="Times New Roman" w:ascii="Times New Roman" w:hAnsi="Times New Roman"/>
          <w:sz w:val="24"/>
          <w:szCs w:val="24"/>
        </w:rPr>
        <w:t xml:space="preserve"> shrinks, the shadow price </w:t>
      </w:r>
      <w:r>
        <w:rPr>
          <w:rFonts w:eastAsia="Times New Roman" w:cs="Times New Roman" w:ascii="Times New Roman" w:hAnsi="Times New Roman"/>
          <w:i/>
          <w:iCs/>
          <w:sz w:val="24"/>
          <w:szCs w:val="24"/>
        </w:rPr>
        <w:t>λ(t)</w:t>
      </w:r>
      <w:r>
        <w:rPr>
          <w:rFonts w:eastAsia="Times New Roman" w:cs="Times New Roman" w:ascii="Times New Roman" w:hAnsi="Times New Roman"/>
          <w:sz w:val="24"/>
          <w:szCs w:val="24"/>
        </w:rPr>
        <w:t xml:space="preserve"> rises – fewer sources remain “worth” attending to, and the agent should optimally narrow focus or stop altogether.</w:t>
      </w:r>
    </w:p>
    <w:p>
      <w:pPr>
        <w:pStyle w:val="Normal"/>
        <w:spacing w:lineRule="exact" w:line="360" w:before="0" w:after="200"/>
        <w:jc w:val="both"/>
        <w:rPr/>
      </w:pPr>
      <w:r>
        <w:rPr>
          <w:rFonts w:eastAsia="Times New Roman" w:cs="Times New Roman" w:ascii="Times New Roman" w:hAnsi="Times New Roman"/>
          <w:sz w:val="24"/>
          <w:szCs w:val="24"/>
        </w:rPr>
        <w:t xml:space="preserve">This is where boredom enters the model. Following Wojtowicz, Chater, and Loewenstein (2023), I interpret boredom not as a failure of willpower but as an </w:t>
      </w:r>
      <w:r>
        <w:rPr>
          <w:rFonts w:eastAsia="Times New Roman" w:cs="Times New Roman" w:ascii="Times New Roman" w:hAnsi="Times New Roman"/>
          <w:i/>
          <w:iCs/>
          <w:sz w:val="24"/>
          <w:szCs w:val="24"/>
        </w:rPr>
        <w:t>opportunity-cost signal</w:t>
      </w:r>
      <w:r>
        <w:rPr>
          <w:rFonts w:eastAsia="Times New Roman" w:cs="Times New Roman" w:ascii="Times New Roman" w:hAnsi="Times New Roman"/>
          <w:sz w:val="24"/>
          <w:szCs w:val="24"/>
        </w:rPr>
        <w:t xml:space="preserve">. Specifically, boredom arises when the perceived marginal value of the current activity falls below the agent’s estimate of the average return available from switching. In formal terms, the agent experiences boredom with source </w:t>
      </w:r>
      <w:r>
        <w:rPr>
          <w:rFonts w:eastAsia="Times New Roman" w:cs="Times New Roman" w:ascii="Times New Roman" w:hAnsi="Times New Roman"/>
          <w:i/>
          <w:iCs/>
          <w:sz w:val="24"/>
          <w:szCs w:val="24"/>
        </w:rPr>
        <w:t>i</w:t>
      </w:r>
      <w:r>
        <w:rPr>
          <w:rFonts w:eastAsia="Times New Roman" w:cs="Times New Roman" w:ascii="Times New Roman" w:hAnsi="Times New Roman"/>
          <w:sz w:val="24"/>
          <w:szCs w:val="24"/>
        </w:rPr>
        <w:t xml:space="preserve"> when:</w:t>
      </w:r>
    </w:p>
    <w:p>
      <w:pPr>
        <w:pStyle w:val="Normal"/>
        <w:spacing w:before="200" w:after="200"/>
        <w:jc w:val="center"/>
        <w:rPr/>
      </w:pP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&lt; </w:t>
      </w:r>
      <w:r>
        <w:rPr>
          <w:rFonts w:eastAsia="Times New Roman" w:cs="Times New Roman" w:ascii="Times New Roman" w:hAnsi="Times New Roman"/>
          <w:i/>
          <w:iCs/>
          <w:sz w:val="24"/>
          <w:szCs w:val="24"/>
        </w:rPr>
        <w:t>λ</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t</w:t>
      </w:r>
      <w:r>
        <w:rPr>
          <w:rFonts w:eastAsia="Times New Roman" w:cs="Times New Roman" w:ascii="Times New Roman" w:hAnsi="Times New Roman"/>
          <w:sz w:val="24"/>
          <w:szCs w:val="24"/>
        </w:rPr>
        <w:t xml:space="preserve">) + </w:t>
      </w:r>
      <w:r>
        <w:rPr>
          <w:rFonts w:eastAsia="Times New Roman" w:cs="Times New Roman" w:ascii="Times New Roman" w:hAnsi="Times New Roman"/>
          <w:i/>
          <w:iCs/>
          <w:sz w:val="24"/>
          <w:szCs w:val="24"/>
        </w:rPr>
        <w:t>ε</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t</w:t>
      </w:r>
      <w:r>
        <w:rPr>
          <w:rFonts w:eastAsia="Times New Roman" w:cs="Times New Roman" w:ascii="Times New Roman" w:hAnsi="Times New Roman"/>
          <w:sz w:val="24"/>
          <w:szCs w:val="24"/>
        </w:rPr>
        <w:t>)</w:t>
      </w:r>
    </w:p>
    <w:p>
      <w:pPr>
        <w:pStyle w:val="Normal"/>
        <w:spacing w:lineRule="exact" w:line="360" w:before="0" w:after="200"/>
        <w:jc w:val="both"/>
        <w:rPr/>
      </w:pPr>
      <w:r>
        <w:rPr>
          <w:rFonts w:eastAsia="Times New Roman" w:cs="Times New Roman" w:ascii="Times New Roman" w:hAnsi="Times New Roman"/>
          <w:sz w:val="24"/>
          <w:szCs w:val="24"/>
        </w:rPr>
        <w:t xml:space="preserve">where </w:t>
      </w:r>
      <w:r>
        <w:rPr>
          <w:rFonts w:eastAsia="Times New Roman" w:cs="Times New Roman" w:ascii="Times New Roman" w:hAnsi="Times New Roman"/>
          <w:i/>
          <w:iCs/>
          <w:sz w:val="24"/>
          <w:szCs w:val="24"/>
        </w:rPr>
        <w:t>ε(t)</w:t>
      </w:r>
      <w:r>
        <w:rPr>
          <w:rFonts w:eastAsia="Times New Roman" w:cs="Times New Roman" w:ascii="Times New Roman" w:hAnsi="Times New Roman"/>
          <w:sz w:val="24"/>
          <w:szCs w:val="24"/>
        </w:rPr>
        <w:t xml:space="preserve"> is a “boredom premium” that increases with time-on-task. The boredom premium captures the psychological insight that our internal alarm system is somewhat forward-looking: it does not just compare current returns to current alternatives, but incorporates a growing sense that unexplored options might yield higher payoffs. This is what makes boredom a functional exploration mechanism rather than mere discomfort.</w:t>
      </w:r>
    </w:p>
    <w:p>
      <w:pPr>
        <w:pStyle w:val="Normal"/>
        <w:spacing w:lineRule="exact" w:line="360" w:before="0" w:after="200"/>
        <w:jc w:val="both"/>
        <w:rPr/>
      </w:pPr>
      <w:r>
        <w:rPr>
          <w:rFonts w:eastAsia="Times New Roman" w:cs="Times New Roman" w:ascii="Times New Roman" w:hAnsi="Times New Roman"/>
          <w:sz w:val="24"/>
          <w:szCs w:val="24"/>
        </w:rPr>
        <w:t>Crucially, boredom in this model is not noise – it carries information. When the agent feels bored, the signal is approximately correct: the marginal return of continued reading really has fallen (due to diminishing returns and fatigue), and the opportunity cost of staying really has risen (due to unexplored alternatives). The agent who follows the boredom signal and switches tasks is, in expectation, making a better allocation decision than the agent who pushes through.</w:t>
      </w:r>
    </w:p>
    <w:p>
      <w:pPr>
        <w:pStyle w:val="Heading2"/>
        <w:spacing w:before="360" w:after="200"/>
        <w:rPr/>
      </w:pPr>
      <w:r>
        <w:rPr>
          <w:rFonts w:eastAsia="Times New Roman" w:cs="Times New Roman" w:ascii="Times New Roman" w:hAnsi="Times New Roman"/>
          <w:b/>
          <w:bCs/>
          <w:sz w:val="28"/>
          <w:szCs w:val="28"/>
        </w:rPr>
        <w:t>1.4 The Boredom Block as a “Cognitive Reset”</w:t>
      </w:r>
    </w:p>
    <w:p>
      <w:pPr>
        <w:pStyle w:val="Normal"/>
        <w:spacing w:lineRule="exact" w:line="360" w:before="0" w:after="200"/>
        <w:jc w:val="both"/>
        <w:rPr/>
      </w:pPr>
      <w:r>
        <w:rPr>
          <w:rFonts w:eastAsia="Times New Roman" w:cs="Times New Roman" w:ascii="Times New Roman" w:hAnsi="Times New Roman"/>
          <w:sz w:val="24"/>
          <w:szCs w:val="24"/>
        </w:rPr>
        <w:t xml:space="preserve">The protocol used in this task includes a 15-minute “boredom block” – a period of deliberate inactivity after reading. How does this fit the model? I propose that the boredom block serves two functions. First, it allows </w:t>
      </w:r>
      <w:r>
        <w:rPr>
          <w:rFonts w:eastAsia="Times New Roman" w:cs="Times New Roman" w:ascii="Times New Roman" w:hAnsi="Times New Roman"/>
          <w:i/>
          <w:iCs/>
          <w:sz w:val="24"/>
          <w:szCs w:val="24"/>
        </w:rPr>
        <w:t>K(t)</w:t>
      </w:r>
      <w:r>
        <w:rPr>
          <w:rFonts w:eastAsia="Times New Roman" w:cs="Times New Roman" w:ascii="Times New Roman" w:hAnsi="Times New Roman"/>
          <w:sz w:val="24"/>
          <w:szCs w:val="24"/>
        </w:rPr>
        <w:t xml:space="preserve"> to partially recover: with no processing demands, fatigue dissipates at some recovery rate </w:t>
      </w:r>
      <w:r>
        <w:rPr>
          <w:rFonts w:eastAsia="Times New Roman" w:cs="Times New Roman" w:ascii="Times New Roman" w:hAnsi="Times New Roman"/>
          <w:i/>
          <w:iCs/>
          <w:sz w:val="24"/>
          <w:szCs w:val="24"/>
        </w:rPr>
        <w:t>ρ</w:t>
      </w:r>
      <w:r>
        <w:rPr>
          <w:rFonts w:eastAsia="Times New Roman" w:cs="Times New Roman" w:ascii="Times New Roman" w:hAnsi="Times New Roman"/>
          <w:sz w:val="24"/>
          <w:szCs w:val="24"/>
        </w:rPr>
        <w:t xml:space="preserve">, so </w:t>
      </w:r>
      <w:r>
        <w:rPr>
          <w:rFonts w:eastAsia="Times New Roman" w:cs="Times New Roman" w:ascii="Times New Roman" w:hAnsi="Times New Roman"/>
          <w:i/>
          <w:iCs/>
          <w:sz w:val="24"/>
          <w:szCs w:val="24"/>
        </w:rPr>
        <w:t>K</w:t>
      </w:r>
      <w:r>
        <w:rPr>
          <w:rFonts w:eastAsia="Times New Roman" w:cs="Times New Roman" w:ascii="Times New Roman" w:hAnsi="Times New Roman"/>
          <w:sz w:val="24"/>
          <w:szCs w:val="24"/>
        </w:rPr>
        <w:t xml:space="preserve"> after the break is </w:t>
      </w:r>
      <w:r>
        <w:rPr>
          <w:rFonts w:eastAsia="Times New Roman" w:cs="Times New Roman" w:ascii="Times New Roman" w:hAnsi="Times New Roman"/>
          <w:i/>
          <w:iCs/>
          <w:sz w:val="24"/>
          <w:szCs w:val="24"/>
        </w:rPr>
        <w:t>K</w:t>
      </w:r>
      <w:r>
        <w:rPr>
          <w:rFonts w:eastAsia="Times New Roman" w:cs="Times New Roman" w:ascii="Times New Roman" w:hAnsi="Times New Roman"/>
          <w:sz w:val="24"/>
          <w:szCs w:val="24"/>
          <w:vertAlign w:val="superscript"/>
        </w:rPr>
        <w:t>post</w:t>
      </w:r>
      <w:r>
        <w:rPr>
          <w:rFonts w:eastAsia="Times New Roman" w:cs="Times New Roman" w:ascii="Times New Roman" w:hAnsi="Times New Roman"/>
          <w:sz w:val="24"/>
          <w:szCs w:val="24"/>
        </w:rPr>
        <w:t xml:space="preserve"> = </w:t>
      </w:r>
      <w:r>
        <w:rPr>
          <w:rFonts w:eastAsia="Times New Roman" w:cs="Times New Roman" w:ascii="Times New Roman" w:hAnsi="Times New Roman"/>
          <w:i/>
          <w:iCs/>
          <w:sz w:val="24"/>
          <w:szCs w:val="24"/>
        </w:rPr>
        <w:t>K(t)</w:t>
      </w:r>
      <w:r>
        <w:rPr>
          <w:rFonts w:eastAsia="Times New Roman" w:cs="Times New Roman" w:ascii="Times New Roman" w:hAnsi="Times New Roman"/>
          <w:sz w:val="24"/>
          <w:szCs w:val="24"/>
        </w:rPr>
        <w:t xml:space="preserve"> + </w:t>
      </w:r>
      <w:r>
        <w:rPr>
          <w:rFonts w:eastAsia="Times New Roman" w:cs="Times New Roman" w:ascii="Times New Roman" w:hAnsi="Times New Roman"/>
          <w:i/>
          <w:iCs/>
          <w:sz w:val="24"/>
          <w:szCs w:val="24"/>
        </w:rPr>
        <w:t>ρ · Δt</w:t>
      </w:r>
      <w:r>
        <w:rPr>
          <w:rFonts w:eastAsia="Times New Roman" w:cs="Times New Roman" w:ascii="Times New Roman" w:hAnsi="Times New Roman"/>
          <w:sz w:val="24"/>
          <w:szCs w:val="24"/>
        </w:rPr>
        <w:t xml:space="preserve">. Second, and more subtly, the block allows what I call </w:t>
      </w:r>
      <w:r>
        <w:rPr>
          <w:rFonts w:eastAsia="Times New Roman" w:cs="Times New Roman" w:ascii="Times New Roman" w:hAnsi="Times New Roman"/>
          <w:i/>
          <w:iCs/>
          <w:sz w:val="24"/>
          <w:szCs w:val="24"/>
        </w:rPr>
        <w:t>background integration</w:t>
      </w:r>
      <w:r>
        <w:rPr>
          <w:rFonts w:eastAsia="Times New Roman" w:cs="Times New Roman" w:ascii="Times New Roman" w:hAnsi="Times New Roman"/>
          <w:sz w:val="24"/>
          <w:szCs w:val="24"/>
        </w:rPr>
        <w:t>: in the absence of new input, the mind replays and reorganizes recently acquired information, effectively increasing the realized value of the reading session after the fact.</w:t>
      </w:r>
    </w:p>
    <w:p>
      <w:pPr>
        <w:pStyle w:val="Normal"/>
        <w:spacing w:lineRule="exact" w:line="360" w:before="0" w:after="200"/>
        <w:jc w:val="both"/>
        <w:rPr/>
      </w:pPr>
      <w:r>
        <w:rPr>
          <w:rFonts w:eastAsia="Times New Roman" w:cs="Times New Roman" w:ascii="Times New Roman" w:hAnsi="Times New Roman"/>
          <w:sz w:val="24"/>
          <w:szCs w:val="24"/>
        </w:rPr>
        <w:t xml:space="preserve">This second function is harder to formalize, but one way to capture it is to say that the value function </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vertAlign w:val="superscript"/>
        </w:rPr>
        <w:t>i</w:t>
      </w:r>
      <w:r>
        <w:rPr>
          <w:rFonts w:eastAsia="Times New Roman" w:cs="Times New Roman" w:ascii="Times New Roman" w:hAnsi="Times New Roman"/>
          <w:sz w:val="24"/>
          <w:szCs w:val="24"/>
        </w:rPr>
        <w:t xml:space="preserve"> is not fully realized at the moment of reading – a fraction </w:t>
      </w:r>
      <w:r>
        <w:rPr>
          <w:rFonts w:eastAsia="Times New Roman" w:cs="Times New Roman" w:ascii="Times New Roman" w:hAnsi="Times New Roman"/>
          <w:i/>
          <w:iCs/>
          <w:sz w:val="24"/>
          <w:szCs w:val="24"/>
        </w:rPr>
        <w:t>α</w:t>
      </w:r>
      <w:r>
        <w:rPr>
          <w:rFonts w:eastAsia="Times New Roman" w:cs="Times New Roman" w:ascii="Times New Roman" w:hAnsi="Times New Roman"/>
          <w:sz w:val="24"/>
          <w:szCs w:val="24"/>
        </w:rPr>
        <w:t xml:space="preserve"> of its value only materializes during subsequent idle time. If the agent never takes a break, this latent value is lost. The boredom block, then, is not “wasted time” but an investment that completes the return on previously allocated attention. This resonates with the broader rational inattention literature: the cost of processing is not just about channel capacity but also about how that capacity is distributed over time.</w:t>
      </w:r>
    </w:p>
    <w:p>
      <w:pPr>
        <w:pStyle w:val="Heading2"/>
        <w:spacing w:before="360" w:after="200"/>
        <w:rPr/>
      </w:pPr>
      <w:r>
        <w:rPr>
          <w:rFonts w:eastAsia="Times New Roman" w:cs="Times New Roman" w:ascii="Times New Roman" w:hAnsi="Times New Roman"/>
          <w:b/>
          <w:bCs/>
          <w:sz w:val="28"/>
          <w:szCs w:val="28"/>
        </w:rPr>
        <w:t>1.5 Attention Capture and Externalities</w:t>
      </w:r>
    </w:p>
    <w:p>
      <w:pPr>
        <w:pStyle w:val="Normal"/>
        <w:spacing w:lineRule="exact" w:line="360" w:before="0" w:after="200"/>
        <w:jc w:val="both"/>
        <w:rPr/>
      </w:pPr>
      <w:r>
        <w:rPr>
          <w:rFonts w:eastAsia="Times New Roman" w:cs="Times New Roman" w:ascii="Times New Roman" w:hAnsi="Times New Roman"/>
          <w:sz w:val="24"/>
          <w:szCs w:val="24"/>
        </w:rPr>
        <w:t>Loewenstein and Wojtowicz (2025) emphasize that the agent’s attention-allocation problem does not happen in a vacuum. Digital platforms are designed to hijack the boredom signal. They do this by offering artificially high short-term marginal returns (notifications, infinite scroll, variable-ratio reinforcement) that trick the agent into reallocating attention away from high-value, slow-return tasks (like reading a dense paper) toward low-value, fast-return consumption.</w:t>
      </w:r>
    </w:p>
    <w:p>
      <w:pPr>
        <w:pStyle w:val="Normal"/>
        <w:spacing w:lineRule="exact" w:line="360" w:before="0" w:after="200"/>
        <w:jc w:val="both"/>
        <w:rPr/>
      </w:pPr>
      <w:r>
        <w:rPr>
          <w:rFonts w:eastAsia="Times New Roman" w:cs="Times New Roman" w:ascii="Times New Roman" w:hAnsi="Times New Roman"/>
          <w:sz w:val="24"/>
          <w:szCs w:val="24"/>
        </w:rPr>
        <w:t xml:space="preserve">In the model, attention capture can be represented as an exogenous shift in the perceived return of source </w:t>
      </w:r>
      <w:r>
        <w:rPr>
          <w:rFonts w:eastAsia="Times New Roman" w:cs="Times New Roman" w:ascii="Times New Roman" w:hAnsi="Times New Roman"/>
          <w:i/>
          <w:iCs/>
          <w:sz w:val="24"/>
          <w:szCs w:val="24"/>
        </w:rPr>
        <w:t>j</w:t>
      </w:r>
      <w:r>
        <w:rPr>
          <w:rFonts w:eastAsia="Times New Roman" w:cs="Times New Roman" w:ascii="Times New Roman" w:hAnsi="Times New Roman"/>
          <w:sz w:val="24"/>
          <w:szCs w:val="24"/>
        </w:rPr>
        <w:t xml:space="preserve"> (the phone), such that </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vertAlign w:val="superscript"/>
        </w:rPr>
        <w:t>j</w:t>
      </w:r>
      <w:r>
        <w:rPr>
          <w:rFonts w:eastAsia="Times New Roman" w:cs="Times New Roman" w:ascii="Times New Roman" w:hAnsi="Times New Roman"/>
          <w:sz w:val="24"/>
          <w:szCs w:val="24"/>
        </w:rPr>
        <w:t xml:space="preserve"> &gt; </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vertAlign w:val="superscript"/>
        </w:rPr>
        <w:t>j</w:t>
      </w:r>
      <w:r>
        <w:rPr>
          <w:rFonts w:eastAsia="Times New Roman" w:cs="Times New Roman" w:ascii="Times New Roman" w:hAnsi="Times New Roman"/>
          <w:sz w:val="24"/>
          <w:szCs w:val="24"/>
        </w:rPr>
        <w:t xml:space="preserve">. The agent, whose boredom signal compares marginal returns across sources, is manipulated into switching too early. The externality is clear: the platform profits from captured attention, but the agent bears the cost in terms of lost depth of processing, unrealized latent value (the </w:t>
      </w:r>
      <w:r>
        <w:rPr>
          <w:rFonts w:eastAsia="Times New Roman" w:cs="Times New Roman" w:ascii="Times New Roman" w:hAnsi="Times New Roman"/>
          <w:i/>
          <w:iCs/>
          <w:sz w:val="24"/>
          <w:szCs w:val="24"/>
        </w:rPr>
        <w:t>α</w:t>
      </w:r>
      <w:r>
        <w:rPr>
          <w:rFonts w:eastAsia="Times New Roman" w:cs="Times New Roman" w:ascii="Times New Roman" w:hAnsi="Times New Roman"/>
          <w:sz w:val="24"/>
          <w:szCs w:val="24"/>
        </w:rPr>
        <w:t xml:space="preserve"> component), and increased switching costs. This is a classic case of misaligned incentives, and it explains why the protocol for this task begins with “put phone in another room.” Removing the phone is not about discipline – it is about eliminating a biased signal source from the agent’s choice set.</w:t>
      </w:r>
    </w:p>
    <w:p>
      <w:pPr>
        <w:pStyle w:val="Heading2"/>
        <w:spacing w:before="360" w:after="200"/>
        <w:rPr/>
      </w:pPr>
      <w:r>
        <w:rPr>
          <w:rFonts w:eastAsia="Times New Roman" w:cs="Times New Roman" w:ascii="Times New Roman" w:hAnsi="Times New Roman"/>
          <w:b/>
          <w:bCs/>
          <w:sz w:val="28"/>
          <w:szCs w:val="28"/>
        </w:rPr>
        <w:t>1.6 Comparative Statics and Testable Predictions</w:t>
      </w:r>
    </w:p>
    <w:p>
      <w:pPr>
        <w:pStyle w:val="Normal"/>
        <w:spacing w:lineRule="exact" w:line="360" w:before="0" w:after="200"/>
        <w:jc w:val="both"/>
        <w:rPr/>
      </w:pPr>
      <w:r>
        <w:rPr>
          <w:rFonts w:eastAsia="Times New Roman" w:cs="Times New Roman" w:ascii="Times New Roman" w:hAnsi="Times New Roman"/>
          <w:sz w:val="24"/>
          <w:szCs w:val="24"/>
        </w:rPr>
        <w:t>The model generates several predictions that connect to both the readings and the personal experiment:</w:t>
      </w:r>
    </w:p>
    <w:p>
      <w:pPr>
        <w:pStyle w:val="Normal"/>
        <w:spacing w:lineRule="exact" w:line="360" w:before="0" w:after="200"/>
        <w:jc w:val="both"/>
        <w:rPr/>
      </w:pPr>
      <w:r>
        <w:rPr>
          <w:rFonts w:eastAsia="Times New Roman" w:cs="Times New Roman" w:ascii="Times New Roman" w:hAnsi="Times New Roman"/>
          <w:b/>
          <w:bCs/>
          <w:sz w:val="24"/>
          <w:szCs w:val="24"/>
        </w:rPr>
        <w:t xml:space="preserve">Prediction 1: Boredom onset is earlier for harder texts. </w:t>
      </w:r>
      <w:r>
        <w:rPr>
          <w:rFonts w:eastAsia="Times New Roman" w:cs="Times New Roman" w:ascii="Times New Roman" w:hAnsi="Times New Roman"/>
          <w:sz w:val="24"/>
          <w:szCs w:val="24"/>
        </w:rPr>
        <w:t xml:space="preserve">If source </w:t>
      </w:r>
      <w:r>
        <w:rPr>
          <w:rFonts w:eastAsia="Times New Roman" w:cs="Times New Roman" w:ascii="Times New Roman" w:hAnsi="Times New Roman"/>
          <w:i/>
          <w:iCs/>
          <w:sz w:val="24"/>
          <w:szCs w:val="24"/>
        </w:rPr>
        <w:t>i</w:t>
      </w:r>
      <w:r>
        <w:rPr>
          <w:rFonts w:eastAsia="Times New Roman" w:cs="Times New Roman" w:ascii="Times New Roman" w:hAnsi="Times New Roman"/>
          <w:sz w:val="24"/>
          <w:szCs w:val="24"/>
        </w:rPr>
        <w:t xml:space="preserve"> has a steeper diminishing-returns curve (as with a mathematically dense paper), the marginal return falls faster, triggering the boredom signal sooner. This is consistent with rational inattention: the agent optimally spends less time on sources where the processing cost per bit of useful information is high.</w:t>
      </w:r>
    </w:p>
    <w:p>
      <w:pPr>
        <w:pStyle w:val="Normal"/>
        <w:spacing w:lineRule="exact" w:line="360" w:before="0" w:after="200"/>
        <w:jc w:val="both"/>
        <w:rPr/>
      </w:pPr>
      <w:r>
        <w:rPr>
          <w:rFonts w:eastAsia="Times New Roman" w:cs="Times New Roman" w:ascii="Times New Roman" w:hAnsi="Times New Roman"/>
          <w:b/>
          <w:bCs/>
          <w:sz w:val="24"/>
          <w:szCs w:val="24"/>
        </w:rPr>
        <w:t xml:space="preserve">Prediction 2: Phone removal delays boredom onset. </w:t>
      </w:r>
      <w:r>
        <w:rPr>
          <w:rFonts w:eastAsia="Times New Roman" w:cs="Times New Roman" w:ascii="Times New Roman" w:hAnsi="Times New Roman"/>
          <w:sz w:val="24"/>
          <w:szCs w:val="24"/>
        </w:rPr>
        <w:t>By removing the high-</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rPr>
        <w:t xml:space="preserve"> outside option, the shadow price </w:t>
      </w:r>
      <w:r>
        <w:rPr>
          <w:rFonts w:eastAsia="Times New Roman" w:cs="Times New Roman" w:ascii="Times New Roman" w:hAnsi="Times New Roman"/>
          <w:i/>
          <w:iCs/>
          <w:sz w:val="24"/>
          <w:szCs w:val="24"/>
        </w:rPr>
        <w:t>λ</w:t>
      </w:r>
      <w:r>
        <w:rPr>
          <w:rFonts w:eastAsia="Times New Roman" w:cs="Times New Roman" w:ascii="Times New Roman" w:hAnsi="Times New Roman"/>
          <w:sz w:val="24"/>
          <w:szCs w:val="24"/>
        </w:rPr>
        <w:t xml:space="preserve"> drops, and the boredom threshold is met later. The agent allocates more total attention to the reading task. This is directly testable: one could compare reading times and comprehension scores with and without phone access.</w:t>
      </w:r>
    </w:p>
    <w:p>
      <w:pPr>
        <w:pStyle w:val="Normal"/>
        <w:spacing w:lineRule="exact" w:line="360" w:before="0" w:after="200"/>
        <w:jc w:val="both"/>
        <w:rPr/>
      </w:pPr>
      <w:r>
        <w:rPr>
          <w:rFonts w:eastAsia="Times New Roman" w:cs="Times New Roman" w:ascii="Times New Roman" w:hAnsi="Times New Roman"/>
          <w:b/>
          <w:bCs/>
          <w:sz w:val="24"/>
          <w:szCs w:val="24"/>
        </w:rPr>
        <w:t xml:space="preserve">Prediction 3: The boredom block increases post-session comprehension. </w:t>
      </w:r>
      <w:r>
        <w:rPr>
          <w:rFonts w:eastAsia="Times New Roman" w:cs="Times New Roman" w:ascii="Times New Roman" w:hAnsi="Times New Roman"/>
          <w:sz w:val="24"/>
          <w:szCs w:val="24"/>
        </w:rPr>
        <w:t xml:space="preserve">If idle time unlocks the latent value </w:t>
      </w:r>
      <w:r>
        <w:rPr>
          <w:rFonts w:eastAsia="Times New Roman" w:cs="Times New Roman" w:ascii="Times New Roman" w:hAnsi="Times New Roman"/>
          <w:i/>
          <w:iCs/>
          <w:sz w:val="24"/>
          <w:szCs w:val="24"/>
        </w:rPr>
        <w:t>α</w:t>
      </w:r>
      <w:r>
        <w:rPr>
          <w:rFonts w:eastAsia="Times New Roman" w:cs="Times New Roman" w:ascii="Times New Roman" w:hAnsi="Times New Roman"/>
          <w:sz w:val="24"/>
          <w:szCs w:val="24"/>
        </w:rPr>
        <w:t>, then agents who take a boredom block should show better recall and more original connections compared to agents who immediately switch to a new task. This is a testable implication that goes beyond the standard rational inattention framework, which does not model post-processing integration.</w:t>
      </w:r>
    </w:p>
    <w:p>
      <w:pPr>
        <w:pStyle w:val="Normal"/>
        <w:spacing w:lineRule="exact" w:line="360" w:before="0" w:after="200"/>
        <w:jc w:val="both"/>
        <w:rPr/>
      </w:pPr>
      <w:r>
        <w:rPr>
          <w:rFonts w:eastAsia="Times New Roman" w:cs="Times New Roman" w:ascii="Times New Roman" w:hAnsi="Times New Roman"/>
          <w:b/>
          <w:bCs/>
          <w:sz w:val="24"/>
          <w:szCs w:val="24"/>
        </w:rPr>
        <w:t xml:space="preserve">Prediction 4: Information overload increases boredom frequency but decreases its functional value. </w:t>
      </w:r>
      <w:r>
        <w:rPr>
          <w:rFonts w:eastAsia="Times New Roman" w:cs="Times New Roman" w:ascii="Times New Roman" w:hAnsi="Times New Roman"/>
          <w:sz w:val="24"/>
          <w:szCs w:val="24"/>
        </w:rPr>
        <w:t xml:space="preserve">When </w:t>
      </w:r>
      <w:r>
        <w:rPr>
          <w:rFonts w:eastAsia="Times New Roman" w:cs="Times New Roman" w:ascii="Times New Roman" w:hAnsi="Times New Roman"/>
          <w:i/>
          <w:iCs/>
          <w:sz w:val="24"/>
          <w:szCs w:val="24"/>
        </w:rPr>
        <w:t>N</w:t>
      </w:r>
      <w:r>
        <w:rPr>
          <w:rFonts w:eastAsia="Times New Roman" w:cs="Times New Roman" w:ascii="Times New Roman" w:hAnsi="Times New Roman"/>
          <w:sz w:val="24"/>
          <w:szCs w:val="24"/>
        </w:rPr>
        <w:t xml:space="preserve"> is large and many sources have moderate returns, the shadow price </w:t>
      </w:r>
      <w:r>
        <w:rPr>
          <w:rFonts w:eastAsia="Times New Roman" w:cs="Times New Roman" w:ascii="Times New Roman" w:hAnsi="Times New Roman"/>
          <w:i/>
          <w:iCs/>
          <w:sz w:val="24"/>
          <w:szCs w:val="24"/>
        </w:rPr>
        <w:t>λ</w:t>
      </w:r>
      <w:r>
        <w:rPr>
          <w:rFonts w:eastAsia="Times New Roman" w:cs="Times New Roman" w:ascii="Times New Roman" w:hAnsi="Times New Roman"/>
          <w:sz w:val="24"/>
          <w:szCs w:val="24"/>
        </w:rPr>
        <w:t xml:space="preserve"> is high, and boredom triggers frequently – but each switch is to another moderate-return source rather than genuine rest. The agent cycles rapidly across shallow inputs without ever reaching the depth needed for latent integration. This is the paradox of informational overload: more boredom, less genuine recovery.</w:t>
      </w:r>
    </w:p>
    <w:p>
      <w:pPr>
        <w:pStyle w:val="Heading2"/>
        <w:spacing w:before="360" w:after="200"/>
        <w:rPr/>
      </w:pPr>
      <w:r>
        <w:rPr>
          <w:rFonts w:eastAsia="Times New Roman" w:cs="Times New Roman" w:ascii="Times New Roman" w:hAnsi="Times New Roman"/>
          <w:b/>
          <w:bCs/>
          <w:sz w:val="28"/>
          <w:szCs w:val="28"/>
        </w:rPr>
        <w:t>1.7 Limits of the Model and the Readings</w:t>
      </w:r>
    </w:p>
    <w:p>
      <w:pPr>
        <w:pStyle w:val="Normal"/>
        <w:spacing w:lineRule="exact" w:line="360" w:before="0" w:after="200"/>
        <w:jc w:val="both"/>
        <w:rPr/>
      </w:pPr>
      <w:r>
        <w:rPr>
          <w:rFonts w:eastAsia="Times New Roman" w:cs="Times New Roman" w:ascii="Times New Roman" w:hAnsi="Times New Roman"/>
          <w:sz w:val="24"/>
          <w:szCs w:val="24"/>
        </w:rPr>
        <w:t>No model is complete, and this one has clear limitations. First, the Shannon capacity framework from Maćkowiak et al. treats the processing constraint as exogenous and fixed – it does not account for the possibility that capacity itself is a function of motivation, context, or emotional state. Someone reading about a topic they deeply care about may temporarily process faster. Second, the boredom-as-opportunity-cost theory of Wojtowicz et al. assumes that the agent has a reasonably accurate estimate of outside options – but in a world of attention capture, these estimates are systematically biased. The model would benefit from incorporating something like a “noisy signal” about opportunity costs. Third, all three papers are largely individualistic: they model a single agent. The social dimension of attention – peer pressure to be “always online,” the signaling value of being informed – is mostly absent. A richer model would embed the attention-allocation problem in a game-theoretic setting where agents compete for social status partly through information consumption.</w:t>
      </w:r>
    </w:p>
    <w:p>
      <w:pPr>
        <w:pStyle w:val="Normal"/>
        <w:spacing w:before="200" w:after="0"/>
        <w:rPr/>
      </w:pPr>
      <w:r>
        <w:rPr/>
        <w:br/>
      </w:r>
    </w:p>
    <w:p>
      <w:pPr>
        <w:pStyle w:val="Heading1"/>
        <w:spacing w:before="360" w:after="200"/>
        <w:rPr/>
      </w:pPr>
      <w:r>
        <w:rPr>
          <w:rFonts w:eastAsia="Times New Roman" w:cs="Times New Roman" w:ascii="Times New Roman" w:hAnsi="Times New Roman"/>
          <w:b/>
          <w:bCs/>
          <w:sz w:val="32"/>
          <w:szCs w:val="32"/>
        </w:rPr>
        <w:t>Part 2: Reflections on the Boredom Protocol</w:t>
      </w:r>
    </w:p>
    <w:p>
      <w:pPr>
        <w:pStyle w:val="Heading2"/>
        <w:spacing w:before="360" w:after="200"/>
        <w:rPr/>
      </w:pPr>
      <w:r>
        <w:rPr>
          <w:rFonts w:eastAsia="Times New Roman" w:cs="Times New Roman" w:ascii="Times New Roman" w:hAnsi="Times New Roman"/>
          <w:b/>
          <w:bCs/>
          <w:sz w:val="28"/>
          <w:szCs w:val="28"/>
        </w:rPr>
        <w:t>2.1 Session 1: Maćkowiak, Matějka &amp; Wiederholt – Rational Inattention</w:t>
      </w:r>
    </w:p>
    <w:p>
      <w:pPr>
        <w:pStyle w:val="Normal"/>
        <w:spacing w:lineRule="exact" w:line="360" w:before="0" w:after="200"/>
        <w:jc w:val="both"/>
        <w:rPr/>
      </w:pPr>
      <w:r>
        <w:rPr>
          <w:rFonts w:eastAsia="Times New Roman" w:cs="Times New Roman" w:ascii="Times New Roman" w:hAnsi="Times New Roman"/>
          <w:sz w:val="24"/>
          <w:szCs w:val="24"/>
        </w:rPr>
        <w:t xml:space="preserve">This was the most technically demanding of the three readings, and I noticed the effects on my attention almost immediately. The first 20 minutes went relatively smoothly – the review’s introduction and motivation sections are well-written and conceptually accessible. But as I reached the formal derivations of the Shannon mutual information constraint, my reading pace slowed dramatically. I found myself re-reading paragraphs without retaining them – which, in the language of the model I described above, signals that my effective capacity </w:t>
      </w:r>
      <w:r>
        <w:rPr>
          <w:rFonts w:eastAsia="Times New Roman" w:cs="Times New Roman" w:ascii="Times New Roman" w:hAnsi="Times New Roman"/>
          <w:i/>
          <w:iCs/>
          <w:sz w:val="24"/>
          <w:szCs w:val="24"/>
        </w:rPr>
        <w:t>K(t)</w:t>
      </w:r>
      <w:r>
        <w:rPr>
          <w:rFonts w:eastAsia="Times New Roman" w:cs="Times New Roman" w:ascii="Times New Roman" w:hAnsi="Times New Roman"/>
          <w:sz w:val="24"/>
          <w:szCs w:val="24"/>
        </w:rPr>
        <w:t xml:space="preserve"> was declining while the per-bit cost of this particular source was high.</w:t>
      </w:r>
    </w:p>
    <w:p>
      <w:pPr>
        <w:pStyle w:val="Normal"/>
        <w:spacing w:lineRule="exact" w:line="360" w:before="0" w:after="200"/>
        <w:jc w:val="both"/>
        <w:rPr/>
      </w:pPr>
      <w:r>
        <w:rPr>
          <w:rFonts w:eastAsia="Times New Roman" w:cs="Times New Roman" w:ascii="Times New Roman" w:hAnsi="Times New Roman"/>
          <w:sz w:val="24"/>
          <w:szCs w:val="24"/>
        </w:rPr>
        <w:t>During the 15-minute boredom block, the urge to reach for my phone peaked around minute 5–7. It was not a gradual build – it came in a sharp wave, almost physical, and then subsided. I found this interesting because it matches the opportunity-cost interpretation: the “urge” is the boredom signal firing, telling me that the expected return from the phone exceeds the return from sitting still. But since the phone was in another room, the signal had nowhere to go, and it simply faded. After that peak, around minutes 9–10, I noticed something unexpected: fragments of the paper started rearranging themselves in my head. The connection between the Shannon constraint and everyday decisions – why I skim some emails and read others carefully – became suddenly clearer, as if the idle time gave the latent processing a chance to complete.</w:t>
      </w:r>
    </w:p>
    <w:p>
      <w:pPr>
        <w:pStyle w:val="Heading2"/>
        <w:spacing w:before="360" w:after="200"/>
        <w:rPr/>
      </w:pPr>
      <w:r>
        <w:rPr>
          <w:rFonts w:eastAsia="Times New Roman" w:cs="Times New Roman" w:ascii="Times New Roman" w:hAnsi="Times New Roman"/>
          <w:b/>
          <w:bCs/>
          <w:sz w:val="28"/>
          <w:szCs w:val="28"/>
        </w:rPr>
        <w:t>2.2 Session 2: Wojtowicz, Chater &amp; Loewenstein – Boredom and Flow</w:t>
      </w:r>
    </w:p>
    <w:p>
      <w:pPr>
        <w:pStyle w:val="Normal"/>
        <w:spacing w:lineRule="exact" w:line="360" w:before="0" w:after="200"/>
        <w:jc w:val="both"/>
        <w:rPr/>
      </w:pPr>
      <w:r>
        <w:rPr>
          <w:rFonts w:eastAsia="Times New Roman" w:cs="Times New Roman" w:ascii="Times New Roman" w:hAnsi="Times New Roman"/>
          <w:sz w:val="24"/>
          <w:szCs w:val="24"/>
        </w:rPr>
        <w:t>This paper was noticeably easier to engage with, partly because of the psychological examples and partly because I was now primed to think about boredom as a mechanism rather than a nuisance. I read for about 50 minutes before feeling genuine fatigue, and my marginal notes were more creative from the start – I was already drawing parallels to the rational inattention framework.</w:t>
      </w:r>
    </w:p>
    <w:p>
      <w:pPr>
        <w:pStyle w:val="Normal"/>
        <w:spacing w:lineRule="exact" w:line="360" w:before="0" w:after="200"/>
        <w:jc w:val="both"/>
        <w:rPr/>
      </w:pPr>
      <w:r>
        <w:rPr>
          <w:rFonts w:eastAsia="Times New Roman" w:cs="Times New Roman" w:ascii="Times New Roman" w:hAnsi="Times New Roman"/>
          <w:sz w:val="24"/>
          <w:szCs w:val="24"/>
        </w:rPr>
        <w:t>The boredom block after this session felt qualitatively different from the first. The urge for stimulation was milder – it peaked around minute 4 and faded quickly. Instead, I spent most of the 15 minutes mentally “arguing” with the paper: is boredom really always an opportunity-cost signal, or can it sometimes be a form of cognitive exhaustion that carries no useful information? This internal debate felt productive. In my boredom log, I wrote that the block felt shorter than 15 minutes, which is itself an interesting data point: when the mind is genuinely engaged in background processing, time perception compresses. This might be a signature of what the authors call the transition zone between boredom and flow.</w:t>
      </w:r>
    </w:p>
    <w:p>
      <w:pPr>
        <w:pStyle w:val="Heading2"/>
        <w:spacing w:before="360" w:after="200"/>
        <w:rPr/>
      </w:pPr>
      <w:r>
        <w:rPr>
          <w:rFonts w:eastAsia="Times New Roman" w:cs="Times New Roman" w:ascii="Times New Roman" w:hAnsi="Times New Roman"/>
          <w:b/>
          <w:bCs/>
          <w:sz w:val="28"/>
          <w:szCs w:val="28"/>
        </w:rPr>
        <w:t>2.3 Session 3: Loewenstein &amp; Wojtowicz – The Economics of Attention</w:t>
      </w:r>
    </w:p>
    <w:p>
      <w:pPr>
        <w:pStyle w:val="Normal"/>
        <w:spacing w:lineRule="exact" w:line="360" w:before="0" w:after="200"/>
        <w:jc w:val="both"/>
        <w:rPr/>
      </w:pPr>
      <w:r>
        <w:rPr>
          <w:rFonts w:eastAsia="Times New Roman" w:cs="Times New Roman" w:ascii="Times New Roman" w:hAnsi="Times New Roman"/>
          <w:sz w:val="24"/>
          <w:szCs w:val="24"/>
        </w:rPr>
        <w:t>By the third session, a pattern had emerged: the protocol itself had become a kind of routine, and the boredom block was no longer anxiety-inducing. I found myself almost looking forward to it – which is paradoxical, since the whole point is that sitting idle should feel uncomfortable. The reading went well; this paper is more of an overview, and I could process it faster because many of the concepts had been introduced in the first two papers.</w:t>
      </w:r>
    </w:p>
    <w:p>
      <w:pPr>
        <w:pStyle w:val="Normal"/>
        <w:spacing w:lineRule="exact" w:line="360" w:before="0" w:after="200"/>
        <w:jc w:val="both"/>
        <w:rPr/>
      </w:pPr>
      <w:r>
        <w:rPr>
          <w:rFonts w:eastAsia="Times New Roman" w:cs="Times New Roman" w:ascii="Times New Roman" w:hAnsi="Times New Roman"/>
          <w:sz w:val="24"/>
          <w:szCs w:val="24"/>
        </w:rPr>
        <w:t>The most striking moment came during the boredom block. At around minute 8, an analogy occurred to me that I had not seen in any of the readings: attention capture by digital platforms works like a tax on cognitive capacity. Just as a tax reduces the effective return to labor and discourages work, the constant presence of a phone reduces the effective return to deep reading (because part of your mind is anticipating the next notification) and discourages engagement. I wrote this down immediately after the block and it became one of the core metaphors in my model above. Without the enforced idleness, I doubt this connection would have surfaced – my working memory during active reading was too full.</w:t>
      </w:r>
    </w:p>
    <w:p>
      <w:pPr>
        <w:pStyle w:val="Heading2"/>
        <w:spacing w:before="360" w:after="200"/>
        <w:rPr/>
      </w:pPr>
      <w:r>
        <w:rPr>
          <w:rFonts w:eastAsia="Times New Roman" w:cs="Times New Roman" w:ascii="Times New Roman" w:hAnsi="Times New Roman"/>
          <w:b/>
          <w:bCs/>
          <w:sz w:val="28"/>
          <w:szCs w:val="28"/>
        </w:rPr>
        <w:t>2.4 Cross-Session Observations</w:t>
      </w:r>
    </w:p>
    <w:p>
      <w:pPr>
        <w:pStyle w:val="Normal"/>
        <w:spacing w:lineRule="exact" w:line="360" w:before="0" w:after="200"/>
        <w:jc w:val="both"/>
        <w:rPr/>
      </w:pPr>
      <w:r>
        <w:rPr>
          <w:rFonts w:eastAsia="Times New Roman" w:cs="Times New Roman" w:ascii="Times New Roman" w:hAnsi="Times New Roman"/>
          <w:sz w:val="24"/>
          <w:szCs w:val="24"/>
        </w:rPr>
        <w:t>Looking across all three sessions, several patterns stand out. First, the boredom signal weakened over sessions – either because I adapted to the protocol or because each session left me with more to process during the idle time. Second, the most creative insights emerged not during reading but during the boredom blocks, consistent with the model’s prediction about latent value integration. Third, I became more conscious of attention capture in my daily life after the experiment. In the days between sessions, I noticed how automatically I reached for my phone in any idle moment – waiting for a bus, standing in a queue – and recognized these as exactly the moments when background integration could be happening. The protocol did not just give me data for the essay; it gave me a lived sense of what the shadow price of attention feels like when you actually pay it.</w:t>
      </w:r>
    </w:p>
    <w:p>
      <w:pPr>
        <w:pStyle w:val="Normal"/>
        <w:spacing w:lineRule="exact" w:line="360" w:before="0" w:after="200"/>
        <w:jc w:val="both"/>
        <w:rPr/>
      </w:pPr>
      <w:r>
        <w:rPr>
          <w:rFonts w:eastAsia="Times New Roman" w:cs="Times New Roman" w:ascii="Times New Roman" w:hAnsi="Times New Roman"/>
          <w:sz w:val="24"/>
          <w:szCs w:val="24"/>
        </w:rPr>
        <w:t>Finally, one observation that the readings do not fully address: the social cost of boredom. In all three sessions, I had to explain to my flatmate why I was “just sitting there” doing nothing for 15 minutes. The social environment actively penalizes visible idleness, which creates an additional cost to the boredom block that the individual-level models do not capture. This reinforces my earlier critique that a game-theoretic extension would enrich the framework.</w:t>
      </w:r>
      <w:r>
        <w:br w:type="page"/>
      </w:r>
    </w:p>
    <w:p>
      <w:pPr>
        <w:pStyle w:val="Normal"/>
        <w:spacing w:before="0" w:after="160"/>
        <w:rPr/>
      </w:pPr>
      <w:r>
        <w:rPr/>
        <w:br/>
      </w:r>
    </w:p>
    <w:p>
      <w:pPr>
        <w:pStyle w:val="Heading1"/>
        <w:spacing w:before="360" w:after="200"/>
        <w:rPr/>
      </w:pPr>
      <w:r>
        <w:rPr>
          <w:rFonts w:eastAsia="Times New Roman" w:cs="Times New Roman" w:ascii="Times New Roman" w:hAnsi="Times New Roman"/>
          <w:b/>
          <w:bCs/>
          <w:sz w:val="32"/>
          <w:szCs w:val="32"/>
        </w:rPr>
        <w:t>Appendix</w:t>
      </w:r>
    </w:p>
    <w:p>
      <w:pPr>
        <w:pStyle w:val="Heading2"/>
        <w:spacing w:before="360" w:after="200"/>
        <w:rPr/>
      </w:pPr>
      <w:r>
        <w:rPr>
          <w:rFonts w:eastAsia="Times New Roman" w:cs="Times New Roman" w:ascii="Times New Roman" w:hAnsi="Times New Roman"/>
          <w:b/>
          <w:bCs/>
          <w:sz w:val="28"/>
          <w:szCs w:val="28"/>
        </w:rPr>
        <w:t>A. Session Log</w:t>
      </w:r>
    </w:p>
    <w:p>
      <w:pPr>
        <w:pStyle w:val="Normal"/>
        <w:spacing w:lineRule="exact" w:line="360" w:before="0" w:after="200"/>
        <w:jc w:val="both"/>
        <w:rPr/>
      </w:pPr>
      <w:r>
        <w:rPr>
          <w:rFonts w:eastAsia="Times New Roman" w:cs="Times New Roman" w:ascii="Times New Roman" w:hAnsi="Times New Roman"/>
          <w:b/>
          <w:bCs/>
          <w:sz w:val="24"/>
          <w:szCs w:val="24"/>
        </w:rPr>
        <w:t xml:space="preserve">Session 1 </w:t>
      </w:r>
      <w:r>
        <w:rPr>
          <w:rFonts w:eastAsia="Times New Roman" w:cs="Times New Roman" w:ascii="Times New Roman" w:hAnsi="Times New Roman"/>
          <w:sz w:val="24"/>
          <w:szCs w:val="24"/>
        </w:rPr>
        <w:t>(Maćkowiak et al.): Saturday, 1 February 2026, 10:00–11:15</w:t>
      </w:r>
    </w:p>
    <w:p>
      <w:pPr>
        <w:pStyle w:val="Normal"/>
        <w:spacing w:lineRule="exact" w:line="360" w:before="0" w:after="200"/>
        <w:jc w:val="both"/>
        <w:rPr/>
      </w:pPr>
      <w:r>
        <w:rPr>
          <w:rFonts w:eastAsia="Times New Roman" w:cs="Times New Roman" w:ascii="Times New Roman" w:hAnsi="Times New Roman"/>
          <w:b/>
          <w:bCs/>
          <w:sz w:val="24"/>
          <w:szCs w:val="24"/>
        </w:rPr>
        <w:t xml:space="preserve">Session 2 </w:t>
      </w:r>
      <w:r>
        <w:rPr>
          <w:rFonts w:eastAsia="Times New Roman" w:cs="Times New Roman" w:ascii="Times New Roman" w:hAnsi="Times New Roman"/>
          <w:sz w:val="24"/>
          <w:szCs w:val="24"/>
        </w:rPr>
        <w:t>(Wojtowicz et al.): Monday, 3 February 2026, 14:00–15:20</w:t>
      </w:r>
    </w:p>
    <w:p>
      <w:pPr>
        <w:pStyle w:val="Normal"/>
        <w:spacing w:lineRule="exact" w:line="360" w:before="0" w:after="200"/>
        <w:jc w:val="both"/>
        <w:rPr/>
      </w:pPr>
      <w:r>
        <w:rPr>
          <w:rFonts w:eastAsia="Times New Roman" w:cs="Times New Roman" w:ascii="Times New Roman" w:hAnsi="Times New Roman"/>
          <w:b/>
          <w:bCs/>
          <w:sz w:val="24"/>
          <w:szCs w:val="24"/>
        </w:rPr>
        <w:t xml:space="preserve">Session 3 </w:t>
      </w:r>
      <w:r>
        <w:rPr>
          <w:rFonts w:eastAsia="Times New Roman" w:cs="Times New Roman" w:ascii="Times New Roman" w:hAnsi="Times New Roman"/>
          <w:sz w:val="24"/>
          <w:szCs w:val="24"/>
        </w:rPr>
        <w:t>(Loewenstein &amp; Wojtowicz): Wednesday, 5 February 2026, 16:30–17:45</w:t>
      </w:r>
    </w:p>
    <w:p>
      <w:pPr>
        <w:pStyle w:val="Normal"/>
        <w:spacing w:lineRule="exact" w:line="360" w:before="0" w:after="200"/>
        <w:jc w:val="both"/>
        <w:rPr/>
      </w:pPr>
      <w:r>
        <w:rPr>
          <w:rFonts w:eastAsia="Times New Roman" w:cs="Times New Roman" w:ascii="Times New Roman" w:hAnsi="Times New Roman"/>
          <w:i/>
          <w:iCs/>
          <w:sz w:val="24"/>
          <w:szCs w:val="24"/>
        </w:rPr>
        <w:t xml:space="preserve">Photo of annotated first pages and boredom logs: </w:t>
      </w:r>
      <w:r>
        <w:rPr>
          <w:rFonts w:eastAsia="Times New Roman" w:cs="Times New Roman" w:ascii="Times New Roman" w:hAnsi="Times New Roman"/>
          <w:i/>
          <w:iCs/>
          <w:sz w:val="24"/>
          <w:szCs w:val="24"/>
        </w:rPr>
        <w:t>attached in .zip file.</w:t>
      </w:r>
    </w:p>
    <w:p>
      <w:pPr>
        <w:pStyle w:val="Heading2"/>
        <w:spacing w:before="360" w:after="200"/>
        <w:rPr/>
      </w:pPr>
      <w:r>
        <w:rPr>
          <w:rFonts w:eastAsia="Times New Roman" w:cs="Times New Roman" w:ascii="Times New Roman" w:hAnsi="Times New Roman"/>
          <w:b/>
          <w:bCs/>
          <w:sz w:val="28"/>
          <w:szCs w:val="28"/>
        </w:rPr>
        <w:t>B. How I Used AI</w:t>
      </w:r>
    </w:p>
    <w:p>
      <w:pPr>
        <w:pStyle w:val="Normal"/>
        <w:spacing w:lineRule="exact" w:line="360" w:before="0" w:after="200"/>
        <w:jc w:val="both"/>
        <w:rPr/>
      </w:pPr>
      <w:r>
        <w:rPr>
          <w:rFonts w:eastAsia="Times New Roman" w:cs="Times New Roman" w:ascii="Times New Roman" w:hAnsi="Times New Roman"/>
          <w:sz w:val="24"/>
          <w:szCs w:val="24"/>
        </w:rPr>
        <w:t xml:space="preserve">After completing all three reading sessions and writing the first draft by hand, I used Claude (Anthropic) as a research assistant. Specifically, I used it to: (1) explore functional forms for the attention-allocation model and check whether the comparative statics were internally consistent, (2) verify my understanding of the Shannon capacity constraint as described in Maćkowiak et al., and (3) clean the final text for grammar and typos, since English is not my </w:t>
      </w:r>
      <w:r>
        <w:rPr>
          <w:rFonts w:eastAsia="Times New Roman" w:cs="Times New Roman" w:ascii="Times New Roman" w:hAnsi="Times New Roman"/>
          <w:sz w:val="24"/>
          <w:szCs w:val="24"/>
        </w:rPr>
        <w:t>native</w:t>
      </w:r>
      <w:r>
        <w:rPr>
          <w:rFonts w:eastAsia="Times New Roman" w:cs="Times New Roman" w:ascii="Times New Roman" w:hAnsi="Times New Roman"/>
          <w:sz w:val="24"/>
          <w:szCs w:val="24"/>
        </w:rPr>
        <w:t xml:space="preserve"> language. The economic reasoning, personal observations, and model structure are my own.</w:t>
      </w:r>
    </w:p>
    <w:p>
      <w:pPr>
        <w:pStyle w:val="Heading1"/>
        <w:spacing w:before="360" w:after="200"/>
        <w:rPr/>
      </w:pPr>
      <w:r>
        <w:rPr>
          <w:rFonts w:eastAsia="Times New Roman" w:cs="Times New Roman" w:ascii="Times New Roman" w:hAnsi="Times New Roman"/>
          <w:b/>
          <w:bCs/>
          <w:sz w:val="32"/>
          <w:szCs w:val="32"/>
        </w:rPr>
        <w:t>References</w:t>
      </w:r>
    </w:p>
    <w:p>
      <w:pPr>
        <w:pStyle w:val="Normal"/>
        <w:spacing w:lineRule="exact" w:line="360" w:before="0" w:after="200"/>
        <w:jc w:val="both"/>
        <w:rPr/>
      </w:pPr>
      <w:r>
        <w:rPr>
          <w:rFonts w:eastAsia="Times New Roman" w:cs="Times New Roman" w:ascii="Times New Roman" w:hAnsi="Times New Roman"/>
          <w:sz w:val="24"/>
          <w:szCs w:val="24"/>
        </w:rPr>
        <w:t xml:space="preserve">Loewenstein, G. &amp; Wojtowicz, Z. (2025). The Economics of Attention. </w:t>
      </w:r>
      <w:r>
        <w:rPr>
          <w:rFonts w:eastAsia="Times New Roman" w:cs="Times New Roman" w:ascii="Times New Roman" w:hAnsi="Times New Roman"/>
          <w:i/>
          <w:iCs/>
          <w:sz w:val="24"/>
          <w:szCs w:val="24"/>
        </w:rPr>
        <w:t>Journal of Economic Literature</w:t>
      </w:r>
      <w:r>
        <w:rPr>
          <w:rFonts w:eastAsia="Times New Roman" w:cs="Times New Roman" w:ascii="Times New Roman" w:hAnsi="Times New Roman"/>
          <w:sz w:val="24"/>
          <w:szCs w:val="24"/>
        </w:rPr>
        <w:t>.</w:t>
      </w:r>
    </w:p>
    <w:p>
      <w:pPr>
        <w:pStyle w:val="Normal"/>
        <w:spacing w:lineRule="exact" w:line="360" w:before="0" w:after="200"/>
        <w:jc w:val="both"/>
        <w:rPr/>
      </w:pPr>
      <w:r>
        <w:rPr>
          <w:rFonts w:eastAsia="Times New Roman" w:cs="Times New Roman" w:ascii="Times New Roman" w:hAnsi="Times New Roman"/>
          <w:sz w:val="24"/>
          <w:szCs w:val="24"/>
        </w:rPr>
        <w:t xml:space="preserve">Maćkowiak, B., Matějka, F., &amp; Wiederholt, M. (2021). Rational Inattention: A Review. </w:t>
      </w:r>
      <w:r>
        <w:rPr>
          <w:rFonts w:eastAsia="Times New Roman" w:cs="Times New Roman" w:ascii="Times New Roman" w:hAnsi="Times New Roman"/>
          <w:i/>
          <w:iCs/>
          <w:sz w:val="24"/>
          <w:szCs w:val="24"/>
        </w:rPr>
        <w:t>Journal of Economic Literature</w:t>
      </w:r>
      <w:r>
        <w:rPr>
          <w:rFonts w:eastAsia="Times New Roman" w:cs="Times New Roman" w:ascii="Times New Roman" w:hAnsi="Times New Roman"/>
          <w:sz w:val="24"/>
          <w:szCs w:val="24"/>
        </w:rPr>
        <w:t>, No 2570.</w:t>
      </w:r>
    </w:p>
    <w:p>
      <w:pPr>
        <w:pStyle w:val="Normal"/>
        <w:spacing w:lineRule="exact" w:line="360" w:before="0" w:after="200"/>
        <w:jc w:val="both"/>
        <w:rPr/>
      </w:pPr>
      <w:r>
        <w:rPr>
          <w:rFonts w:eastAsia="Times New Roman" w:cs="Times New Roman" w:ascii="Times New Roman" w:hAnsi="Times New Roman"/>
          <w:sz w:val="24"/>
          <w:szCs w:val="24"/>
        </w:rPr>
        <w:t xml:space="preserve">Wojtowicz, Z., Chater, N., &amp; Loewenstein, G. (2023). Boredom and Flow: An Opportunity Cost Theory of Attention-Directing Motivational States. </w:t>
      </w:r>
      <w:r>
        <w:rPr>
          <w:rFonts w:eastAsia="Times New Roman" w:cs="Times New Roman" w:ascii="Times New Roman" w:hAnsi="Times New Roman"/>
          <w:i/>
          <w:iCs/>
          <w:sz w:val="24"/>
          <w:szCs w:val="24"/>
        </w:rPr>
        <w:t>SSRN Working Paper</w:t>
      </w:r>
      <w:r>
        <w:rPr>
          <w:rFonts w:eastAsia="Times New Roman" w:cs="Times New Roman" w:ascii="Times New Roman" w:hAnsi="Times New Roman"/>
          <w:sz w:val="24"/>
          <w:szCs w:val="24"/>
        </w:rPr>
        <w:t>.</w:t>
      </w:r>
    </w:p>
    <w:p>
      <w:pPr>
        <w:pStyle w:val="Normal"/>
        <w:spacing w:lineRule="exact" w:line="360" w:before="0" w:after="200"/>
        <w:jc w:val="both"/>
        <w:rPr/>
      </w:pPr>
      <w:r>
        <w:rPr>
          <w:rFonts w:eastAsia="Times New Roman" w:cs="Times New Roman" w:ascii="Times New Roman" w:hAnsi="Times New Roman"/>
          <w:sz w:val="24"/>
          <w:szCs w:val="24"/>
        </w:rPr>
        <w:t xml:space="preserve">Goldhaber, M. H. (1997). The Attention Economy and the Net. </w:t>
      </w:r>
      <w:r>
        <w:rPr>
          <w:rFonts w:eastAsia="Times New Roman" w:cs="Times New Roman" w:ascii="Times New Roman" w:hAnsi="Times New Roman"/>
          <w:i/>
          <w:iCs/>
          <w:sz w:val="24"/>
          <w:szCs w:val="24"/>
        </w:rPr>
        <w:t>First Monday</w:t>
      </w:r>
      <w:r>
        <w:rPr>
          <w:rFonts w:eastAsia="Times New Roman" w:cs="Times New Roman" w:ascii="Times New Roman" w:hAnsi="Times New Roman"/>
          <w:sz w:val="24"/>
          <w:szCs w:val="24"/>
        </w:rPr>
        <w:t>, 2(4).</w:t>
      </w:r>
    </w:p>
    <w:p>
      <w:pPr>
        <w:pStyle w:val="Normal"/>
        <w:spacing w:lineRule="exact" w:line="360" w:before="0" w:after="20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 xml:space="preserve">Newport, C. (2016). </w:t>
      </w:r>
      <w:r>
        <w:rPr>
          <w:rFonts w:eastAsia="Times New Roman" w:cs="Times New Roman" w:ascii="Times New Roman" w:hAnsi="Times New Roman"/>
          <w:i/>
          <w:iCs/>
          <w:sz w:val="24"/>
          <w:szCs w:val="24"/>
        </w:rPr>
        <w:t>Deep Work: Rules for Focused Success in a Distracted World</w:t>
      </w:r>
      <w:r>
        <w:rPr>
          <w:rFonts w:eastAsia="Times New Roman" w:cs="Times New Roman" w:ascii="Times New Roman" w:hAnsi="Times New Roman"/>
          <w:sz w:val="24"/>
          <w:szCs w:val="24"/>
        </w:rPr>
        <w:t>. Grand Central Publishing.</w:t>
      </w:r>
    </w:p>
    <w:sectPr>
      <w:headerReference w:type="even" r:id="rId2"/>
      <w:headerReference w:type="default" r:id="rId3"/>
      <w:headerReference w:type="first" r:id="rId4"/>
      <w:type w:val="nextPage"/>
      <w:pgSz w:w="11906" w:h="16838"/>
      <w:pgMar w:left="1417" w:right="1417" w:gutter="0" w:header="1417" w:top="2228"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60" w:before="0" w:after="200"/>
      <w:jc w:val="both"/>
      <w:rPr/>
    </w:pPr>
    <w:r>
      <w:rPr>
        <w:rFonts w:eastAsia="Times New Roman" w:cs="Times New Roman" w:ascii="Times New Roman" w:hAnsi="Times New Roman"/>
      </w:rPr>
      <w:tab/>
      <w:tab/>
      <w:tab/>
      <w:tab/>
      <w:tab/>
      <w:tab/>
      <w:tab/>
      <w:tab/>
      <w:tab/>
      <w:t>Ondřej</w:t>
    </w:r>
    <w:r>
      <w:rPr/>
      <w:t xml:space="preserve"> </w:t>
    </w:r>
    <w:r>
      <w:rPr>
        <w:rFonts w:eastAsia="Times New Roman" w:cs="Times New Roman" w:ascii="Times New Roman" w:hAnsi="Times New Roman"/>
        <w:color w:val="auto"/>
        <w:kern w:val="2"/>
        <w:sz w:val="24"/>
        <w:szCs w:val="24"/>
        <w:lang w:val="pl-PL" w:eastAsia="en-US" w:bidi="ar-SA"/>
        <w14:ligatures w14:val="standardContextual"/>
      </w:rPr>
      <w:t>Marvan, 477001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60" w:before="0" w:after="200"/>
      <w:jc w:val="both"/>
      <w:rPr/>
    </w:pPr>
    <w:r>
      <w:rPr>
        <w:rFonts w:eastAsia="Times New Roman" w:cs="Times New Roman" w:ascii="Times New Roman" w:hAnsi="Times New Roman"/>
      </w:rPr>
      <w:tab/>
      <w:tab/>
      <w:tab/>
      <w:tab/>
      <w:tab/>
      <w:tab/>
      <w:tab/>
      <w:tab/>
      <w:tab/>
      <w:t>Ondřej</w:t>
    </w:r>
    <w:r>
      <w:rPr/>
      <w:t xml:space="preserve"> </w:t>
    </w:r>
    <w:r>
      <w:rPr>
        <w:rFonts w:eastAsia="Times New Roman" w:cs="Times New Roman" w:ascii="Times New Roman" w:hAnsi="Times New Roman"/>
        <w:color w:val="auto"/>
        <w:kern w:val="2"/>
        <w:sz w:val="24"/>
        <w:szCs w:val="24"/>
        <w:lang w:val="pl-PL" w:eastAsia="en-US" w:bidi="ar-SA"/>
        <w14:ligatures w14:val="standardContextual"/>
      </w:rPr>
      <w:t>Marvan, 477001</w: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pl-P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pl-PL" w:eastAsia="en-US" w:bidi="ar-SA"/>
      <w14:ligatures w14:val="standardContextual"/>
    </w:rPr>
  </w:style>
  <w:style w:type="paragraph" w:styleId="Heading1">
    <w:name w:val="Heading 1"/>
    <w:basedOn w:val="Normal"/>
    <w:next w:val="Normal"/>
    <w:link w:val="Nagwek1Znak"/>
    <w:uiPriority w:val="9"/>
    <w:qFormat/>
    <w:rsid w:val="003c4c3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Nagwek2Znak"/>
    <w:uiPriority w:val="9"/>
    <w:semiHidden/>
    <w:unhideWhenUsed/>
    <w:qFormat/>
    <w:rsid w:val="003c4c3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Nagwek3Znak"/>
    <w:uiPriority w:val="9"/>
    <w:semiHidden/>
    <w:unhideWhenUsed/>
    <w:qFormat/>
    <w:rsid w:val="003c4c3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Nagwek4Znak"/>
    <w:uiPriority w:val="9"/>
    <w:semiHidden/>
    <w:unhideWhenUsed/>
    <w:qFormat/>
    <w:rsid w:val="003c4c3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Nagwek5Znak"/>
    <w:uiPriority w:val="9"/>
    <w:semiHidden/>
    <w:unhideWhenUsed/>
    <w:qFormat/>
    <w:rsid w:val="003c4c3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Nagwek6Znak"/>
    <w:uiPriority w:val="9"/>
    <w:semiHidden/>
    <w:unhideWhenUsed/>
    <w:qFormat/>
    <w:rsid w:val="003c4c3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Nagwek7Znak"/>
    <w:uiPriority w:val="9"/>
    <w:semiHidden/>
    <w:unhideWhenUsed/>
    <w:qFormat/>
    <w:rsid w:val="003c4c3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Nagwek8Znak"/>
    <w:uiPriority w:val="9"/>
    <w:semiHidden/>
    <w:unhideWhenUsed/>
    <w:qFormat/>
    <w:rsid w:val="003c4c3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Nagwek9Znak"/>
    <w:uiPriority w:val="9"/>
    <w:semiHidden/>
    <w:unhideWhenUsed/>
    <w:qFormat/>
    <w:rsid w:val="003c4c3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Nagwek1Znak" w:customStyle="1">
    <w:name w:val="Nagłówek 1 Znak"/>
    <w:basedOn w:val="DefaultParagraphFont"/>
    <w:link w:val="Heading1"/>
    <w:uiPriority w:val="9"/>
    <w:qFormat/>
    <w:rsid w:val="003c4c3f"/>
    <w:rPr>
      <w:rFonts w:ascii="Aptos Display" w:hAnsi="Aptos Display" w:eastAsia="" w:cs="" w:asciiTheme="majorHAnsi" w:cstheme="majorBidi" w:eastAsiaTheme="majorEastAsia" w:hAnsiTheme="majorHAnsi"/>
      <w:color w:themeColor="accent1" w:themeShade="bf" w:val="0F4761"/>
      <w:sz w:val="40"/>
      <w:szCs w:val="40"/>
    </w:rPr>
  </w:style>
  <w:style w:type="character" w:styleId="Nagwek2Znak" w:customStyle="1">
    <w:name w:val="Nagłówek 2 Znak"/>
    <w:basedOn w:val="DefaultParagraphFont"/>
    <w:link w:val="Heading2"/>
    <w:uiPriority w:val="9"/>
    <w:semiHidden/>
    <w:qFormat/>
    <w:rsid w:val="003c4c3f"/>
    <w:rPr>
      <w:rFonts w:ascii="Aptos Display" w:hAnsi="Aptos Display" w:eastAsia="" w:cs="" w:asciiTheme="majorHAnsi" w:cstheme="majorBidi" w:eastAsiaTheme="majorEastAsia" w:hAnsiTheme="majorHAnsi"/>
      <w:color w:themeColor="accent1" w:themeShade="bf" w:val="0F4761"/>
      <w:sz w:val="32"/>
      <w:szCs w:val="32"/>
    </w:rPr>
  </w:style>
  <w:style w:type="character" w:styleId="Nagwek3Znak" w:customStyle="1">
    <w:name w:val="Nagłówek 3 Znak"/>
    <w:basedOn w:val="DefaultParagraphFont"/>
    <w:link w:val="Heading3"/>
    <w:uiPriority w:val="9"/>
    <w:semiHidden/>
    <w:qFormat/>
    <w:rsid w:val="003c4c3f"/>
    <w:rPr>
      <w:rFonts w:eastAsia="" w:cs="" w:cstheme="majorBidi" w:eastAsiaTheme="majorEastAsia"/>
      <w:color w:themeColor="accent1" w:themeShade="bf" w:val="0F4761"/>
      <w:sz w:val="28"/>
      <w:szCs w:val="28"/>
    </w:rPr>
  </w:style>
  <w:style w:type="character" w:styleId="Nagwek4Znak" w:customStyle="1">
    <w:name w:val="Nagłówek 4 Znak"/>
    <w:basedOn w:val="DefaultParagraphFont"/>
    <w:link w:val="Heading4"/>
    <w:uiPriority w:val="9"/>
    <w:semiHidden/>
    <w:qFormat/>
    <w:rsid w:val="003c4c3f"/>
    <w:rPr>
      <w:rFonts w:eastAsia="" w:cs="" w:cstheme="majorBidi" w:eastAsiaTheme="majorEastAsia"/>
      <w:i/>
      <w:iCs/>
      <w:color w:themeColor="accent1" w:themeShade="bf" w:val="0F4761"/>
    </w:rPr>
  </w:style>
  <w:style w:type="character" w:styleId="Nagwek5Znak" w:customStyle="1">
    <w:name w:val="Nagłówek 5 Znak"/>
    <w:basedOn w:val="DefaultParagraphFont"/>
    <w:link w:val="Heading5"/>
    <w:uiPriority w:val="9"/>
    <w:semiHidden/>
    <w:qFormat/>
    <w:rsid w:val="003c4c3f"/>
    <w:rPr>
      <w:rFonts w:eastAsia="" w:cs="" w:cstheme="majorBidi" w:eastAsiaTheme="majorEastAsia"/>
      <w:color w:themeColor="accent1" w:themeShade="bf" w:val="0F4761"/>
    </w:rPr>
  </w:style>
  <w:style w:type="character" w:styleId="Nagwek6Znak" w:customStyle="1">
    <w:name w:val="Nagłówek 6 Znak"/>
    <w:basedOn w:val="DefaultParagraphFont"/>
    <w:link w:val="Heading6"/>
    <w:uiPriority w:val="9"/>
    <w:semiHidden/>
    <w:qFormat/>
    <w:rsid w:val="003c4c3f"/>
    <w:rPr>
      <w:rFonts w:eastAsia="" w:cs="" w:cstheme="majorBidi" w:eastAsiaTheme="majorEastAsia"/>
      <w:i/>
      <w:iCs/>
      <w:color w:themeColor="text1" w:themeTint="a6" w:val="595959"/>
    </w:rPr>
  </w:style>
  <w:style w:type="character" w:styleId="Nagwek7Znak" w:customStyle="1">
    <w:name w:val="Nagłówek 7 Znak"/>
    <w:basedOn w:val="DefaultParagraphFont"/>
    <w:link w:val="Heading7"/>
    <w:uiPriority w:val="9"/>
    <w:semiHidden/>
    <w:qFormat/>
    <w:rsid w:val="003c4c3f"/>
    <w:rPr>
      <w:rFonts w:eastAsia="" w:cs="" w:cstheme="majorBidi" w:eastAsiaTheme="majorEastAsia"/>
      <w:color w:themeColor="text1" w:themeTint="a6" w:val="595959"/>
    </w:rPr>
  </w:style>
  <w:style w:type="character" w:styleId="Nagwek8Znak" w:customStyle="1">
    <w:name w:val="Nagłówek 8 Znak"/>
    <w:basedOn w:val="DefaultParagraphFont"/>
    <w:link w:val="Heading8"/>
    <w:uiPriority w:val="9"/>
    <w:semiHidden/>
    <w:qFormat/>
    <w:rsid w:val="003c4c3f"/>
    <w:rPr>
      <w:rFonts w:eastAsia="" w:cs="" w:cstheme="majorBidi" w:eastAsiaTheme="majorEastAsia"/>
      <w:i/>
      <w:iCs/>
      <w:color w:themeColor="text1" w:themeTint="d8" w:val="272727"/>
    </w:rPr>
  </w:style>
  <w:style w:type="character" w:styleId="Nagwek9Znak" w:customStyle="1">
    <w:name w:val="Nagłówek 9 Znak"/>
    <w:basedOn w:val="DefaultParagraphFont"/>
    <w:link w:val="Heading9"/>
    <w:uiPriority w:val="9"/>
    <w:semiHidden/>
    <w:qFormat/>
    <w:rsid w:val="003c4c3f"/>
    <w:rPr>
      <w:rFonts w:eastAsia="" w:cs="" w:cstheme="majorBidi" w:eastAsiaTheme="majorEastAsia"/>
      <w:color w:themeColor="text1" w:themeTint="d8" w:val="272727"/>
    </w:rPr>
  </w:style>
  <w:style w:type="character" w:styleId="TytuZnak" w:customStyle="1">
    <w:name w:val="Tytuł Znak"/>
    <w:basedOn w:val="DefaultParagraphFont"/>
    <w:link w:val="Title"/>
    <w:uiPriority w:val="10"/>
    <w:qFormat/>
    <w:rsid w:val="003c4c3f"/>
    <w:rPr>
      <w:rFonts w:ascii="Aptos Display" w:hAnsi="Aptos Display" w:eastAsia="" w:cs="" w:asciiTheme="majorHAnsi" w:cstheme="majorBidi" w:eastAsiaTheme="majorEastAsia" w:hAnsiTheme="majorHAnsi"/>
      <w:spacing w:val="-10"/>
      <w:kern w:val="2"/>
      <w:sz w:val="56"/>
      <w:szCs w:val="56"/>
    </w:rPr>
  </w:style>
  <w:style w:type="character" w:styleId="PodtytuZnak" w:customStyle="1">
    <w:name w:val="Podtytuł Znak"/>
    <w:basedOn w:val="DefaultParagraphFont"/>
    <w:link w:val="Subtitle"/>
    <w:uiPriority w:val="11"/>
    <w:qFormat/>
    <w:rsid w:val="003c4c3f"/>
    <w:rPr>
      <w:rFonts w:eastAsia="" w:cs="" w:cstheme="majorBidi" w:eastAsiaTheme="majorEastAsia"/>
      <w:color w:themeColor="text1" w:themeTint="a6" w:val="595959"/>
      <w:spacing w:val="15"/>
      <w:sz w:val="28"/>
      <w:szCs w:val="28"/>
    </w:rPr>
  </w:style>
  <w:style w:type="character" w:styleId="CytatZnak" w:customStyle="1">
    <w:name w:val="Cytat Znak"/>
    <w:basedOn w:val="DefaultParagraphFont"/>
    <w:link w:val="Quote"/>
    <w:uiPriority w:val="29"/>
    <w:qFormat/>
    <w:rsid w:val="003c4c3f"/>
    <w:rPr>
      <w:i/>
      <w:iCs/>
      <w:color w:themeColor="text1" w:themeTint="bf" w:val="404040"/>
    </w:rPr>
  </w:style>
  <w:style w:type="character" w:styleId="IntenseEmphasis">
    <w:name w:val="Intense Emphasis"/>
    <w:basedOn w:val="DefaultParagraphFont"/>
    <w:uiPriority w:val="21"/>
    <w:qFormat/>
    <w:rsid w:val="003c4c3f"/>
    <w:rPr>
      <w:i/>
      <w:iCs/>
      <w:color w:themeColor="accent1" w:themeShade="bf" w:val="0F4761"/>
    </w:rPr>
  </w:style>
  <w:style w:type="character" w:styleId="CytatintensywnyZnak" w:customStyle="1">
    <w:name w:val="Cytat intensywny Znak"/>
    <w:basedOn w:val="DefaultParagraphFont"/>
    <w:link w:val="IntenseQuote"/>
    <w:uiPriority w:val="30"/>
    <w:qFormat/>
    <w:rsid w:val="003c4c3f"/>
    <w:rPr>
      <w:i/>
      <w:iCs/>
      <w:color w:themeColor="accent1" w:themeShade="bf" w:val="0F4761"/>
    </w:rPr>
  </w:style>
  <w:style w:type="character" w:styleId="IntenseReference">
    <w:name w:val="Intense Reference"/>
    <w:basedOn w:val="DefaultParagraphFont"/>
    <w:uiPriority w:val="32"/>
    <w:qFormat/>
    <w:rsid w:val="003c4c3f"/>
    <w:rPr>
      <w:b/>
      <w:bCs/>
      <w:smallCaps/>
      <w:color w:themeColor="accent1" w:themeShade="bf" w:val="0F4761"/>
      <w:spacing w:val="5"/>
    </w:rPr>
  </w:style>
  <w:style w:type="character" w:styleId="Hyperlink">
    <w:name w:val="Hyperlink"/>
    <w:basedOn w:val="DefaultParagraphFont"/>
    <w:uiPriority w:val="99"/>
    <w:unhideWhenUsed/>
    <w:rsid w:val="008e0236"/>
    <w:rPr>
      <w:color w:themeColor="hyperlink" w:val="467886"/>
      <w:u w:val="single"/>
    </w:rPr>
  </w:style>
  <w:style w:type="character" w:styleId="UnresolvedMention">
    <w:name w:val="Unresolved Mention"/>
    <w:basedOn w:val="DefaultParagraphFont"/>
    <w:uiPriority w:val="99"/>
    <w:semiHidden/>
    <w:unhideWhenUsed/>
    <w:qFormat/>
    <w:rsid w:val="008e0236"/>
    <w:rPr>
      <w:color w:val="605E5C"/>
      <w:shd w:fill="E1DFDD" w:val="clear"/>
    </w:rPr>
  </w:style>
  <w:style w:type="character" w:styleId="EndnoteCharacters">
    <w:name w:val="Endnote Characters"/>
    <w:qFormat/>
    <w:rPr/>
  </w:style>
  <w:style w:type="character" w:styleId="EndnoteReference">
    <w:name w:val="Endnote Reference"/>
    <w:rPr>
      <w:vertAlign w:val="superscrip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ytuZnak"/>
    <w:uiPriority w:val="10"/>
    <w:qFormat/>
    <w:rsid w:val="003c4c3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PodtytuZnak"/>
    <w:uiPriority w:val="11"/>
    <w:qFormat/>
    <w:rsid w:val="003c4c3f"/>
    <w:pPr/>
    <w:rPr>
      <w:rFonts w:eastAsia="" w:cs="" w:cstheme="majorBidi" w:eastAsiaTheme="majorEastAsia"/>
      <w:color w:themeColor="text1" w:themeTint="a6" w:val="595959"/>
      <w:spacing w:val="15"/>
      <w:sz w:val="28"/>
      <w:szCs w:val="28"/>
    </w:rPr>
  </w:style>
  <w:style w:type="paragraph" w:styleId="Quote">
    <w:name w:val="Quote"/>
    <w:basedOn w:val="Normal"/>
    <w:next w:val="Normal"/>
    <w:link w:val="CytatZnak"/>
    <w:uiPriority w:val="29"/>
    <w:qFormat/>
    <w:rsid w:val="003c4c3f"/>
    <w:pPr>
      <w:spacing w:before="160" w:after="160"/>
      <w:jc w:val="center"/>
    </w:pPr>
    <w:rPr>
      <w:i/>
      <w:iCs/>
      <w:color w:themeColor="text1" w:themeTint="bf" w:val="404040"/>
    </w:rPr>
  </w:style>
  <w:style w:type="paragraph" w:styleId="ListParagraph">
    <w:name w:val="List Paragraph"/>
    <w:basedOn w:val="Normal"/>
    <w:uiPriority w:val="34"/>
    <w:qFormat/>
    <w:rsid w:val="003c4c3f"/>
    <w:pPr>
      <w:spacing w:before="0" w:after="160"/>
      <w:ind w:left="720"/>
      <w:contextualSpacing/>
    </w:pPr>
    <w:rPr/>
  </w:style>
  <w:style w:type="paragraph" w:styleId="IntenseQuote">
    <w:name w:val="Intense Quote"/>
    <w:basedOn w:val="Normal"/>
    <w:next w:val="Normal"/>
    <w:link w:val="CytatintensywnyZnak"/>
    <w:uiPriority w:val="30"/>
    <w:qFormat/>
    <w:rsid w:val="003c4c3f"/>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suppressLineNumbers/>
      <w:tabs>
        <w:tab w:val="clear" w:pos="708"/>
        <w:tab w:val="center" w:pos="4536" w:leader="none"/>
        <w:tab w:val="right" w:pos="9072" w:leader="none"/>
      </w:tabs>
    </w:pPr>
    <w:rPr/>
  </w:style>
  <w:style w:type="paragraph" w:styleId="Header">
    <w:name w:val="Header"/>
    <w:basedOn w:val="HeaderandFooter"/>
    <w:pPr>
      <w:suppressLineNumbers/>
    </w:pPr>
    <w:rPr/>
  </w:style>
  <w:style w:type="paragraph" w:styleId="EndnoteText">
    <w:name w:val="Endnote Text"/>
    <w:basedOn w:val="Normal"/>
    <w:pPr>
      <w:suppressLineNumbers/>
      <w:ind w:hanging="340" w:left="340"/>
    </w:pPr>
    <w:rPr>
      <w:sz w:val="20"/>
      <w:szCs w:val="20"/>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544</TotalTime>
  <Application>LibreOffice/24.2.7.2$Linux_X86_64 LibreOffice_project/420$Build-2</Application>
  <AppVersion>15.0000</AppVersion>
  <Pages>8</Pages>
  <Words>2604</Words>
  <Characters>14081</Characters>
  <CharactersWithSpaces>16670</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2026-01-20T09:59:00Z</dcterms:created>
  <dc:creator>Tomasz Kopczewski</dc:creator>
  <dc:description/>
  <dc:language>en-US</dc:language>
  <cp:lastModifiedBy/>
  <dcterms:modified xsi:type="dcterms:W3CDTF">2026-02-08T19:22:41Z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