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Times New Roman" w:cs="Times New Roman" w:ascii="Times New Roman" w:hAnsi="Times New Roman"/>
          <w:b/>
          <w:bCs/>
          <w:sz w:val="34"/>
          <w:szCs w:val="34"/>
        </w:rPr>
        <w:t>Task 2: Time, Scrolling, and the Value of Human Life</w:t>
      </w:r>
    </w:p>
    <w:p>
      <w:pPr>
        <w:pStyle w:val="Normal"/>
        <w:spacing w:before="0" w:after="500"/>
        <w:jc w:val="center"/>
        <w:rPr/>
      </w:pPr>
      <w:r>
        <w:rPr>
          <w:rFonts w:eastAsia="Times New Roman" w:cs="Times New Roman" w:ascii="Times New Roman" w:hAnsi="Times New Roman"/>
          <w:i/>
          <w:iCs/>
          <w:sz w:val="28"/>
          <w:szCs w:val="28"/>
        </w:rPr>
        <w:t>WHL, Present Value, and Present Bias</w:t>
      </w:r>
    </w:p>
    <w:p>
      <w:pPr>
        <w:pStyle w:val="Heading1"/>
        <w:spacing w:before="300" w:after="160"/>
        <w:rPr/>
      </w:pPr>
      <w:r>
        <w:rPr>
          <w:rFonts w:eastAsia="Times New Roman" w:cs="Times New Roman" w:ascii="Times New Roman" w:hAnsi="Times New Roman"/>
          <w:b/>
          <w:bCs/>
          <w:sz w:val="30"/>
          <w:szCs w:val="30"/>
        </w:rPr>
        <w:t>Part 1: Valuing Time Through Boredom</w:t>
      </w:r>
    </w:p>
    <w:p>
      <w:pPr>
        <w:pStyle w:val="Heading2"/>
        <w:spacing w:before="300" w:after="160"/>
        <w:rPr/>
      </w:pPr>
      <w:r>
        <w:rPr>
          <w:rFonts w:eastAsia="Times New Roman" w:cs="Times New Roman" w:ascii="Times New Roman" w:hAnsi="Times New Roman"/>
          <w:b/>
          <w:bCs/>
          <w:sz w:val="26"/>
          <w:szCs w:val="26"/>
        </w:rPr>
        <w:t>Session A: Pure Boredom</w:t>
      </w:r>
    </w:p>
    <w:p>
      <w:pPr>
        <w:pStyle w:val="Normal"/>
        <w:spacing w:lineRule="exact" w:line="340" w:before="0" w:after="160"/>
        <w:jc w:val="both"/>
        <w:rPr/>
      </w:pPr>
      <w:r>
        <w:rPr>
          <w:rFonts w:eastAsia="Times New Roman" w:cs="Times New Roman" w:ascii="Times New Roman" w:hAnsi="Times New Roman"/>
          <w:sz w:val="24"/>
          <w:szCs w:val="24"/>
        </w:rPr>
        <w:t xml:space="preserve">15 minutes, phone in another room, no activity. The first 3–4 minutes were tolerable – residual thoughts from the day kept me occupied. Minutes 5–9 were the worst: a strong urge to check my phone, restlessness, and an almost physical discomfort from having nothing to do. Minutes 10–15 became oddly calmer, as if I had passed through the worst of it. After stopping: </w:t>
      </w:r>
      <w:r>
        <w:rPr>
          <w:rFonts w:eastAsia="Times New Roman" w:cs="Times New Roman" w:ascii="Times New Roman" w:hAnsi="Times New Roman"/>
          <w:b/>
          <w:bCs/>
          <w:sz w:val="24"/>
          <w:szCs w:val="24"/>
        </w:rPr>
        <w:t>WTP</w:t>
      </w:r>
      <w:r>
        <w:rPr>
          <w:rFonts w:eastAsia="Times New Roman" w:cs="Times New Roman" w:ascii="Times New Roman" w:hAnsi="Times New Roman"/>
          <w:sz w:val="24"/>
          <w:szCs w:val="24"/>
          <w:vertAlign w:val="subscript"/>
        </w:rPr>
        <w:t>A</w:t>
      </w:r>
      <w:r>
        <w:rPr>
          <w:rFonts w:eastAsia="Times New Roman" w:cs="Times New Roman" w:ascii="Times New Roman" w:hAnsi="Times New Roman"/>
          <w:b/>
          <w:bCs/>
          <w:sz w:val="24"/>
          <w:szCs w:val="24"/>
        </w:rPr>
        <w:t xml:space="preserve"> = 15 PLN</w:t>
      </w:r>
      <w:r>
        <w:rPr>
          <w:rFonts w:eastAsia="Times New Roman" w:cs="Times New Roman" w:ascii="Times New Roman" w:hAnsi="Times New Roman"/>
          <w:sz w:val="24"/>
          <w:szCs w:val="24"/>
        </w:rPr>
        <w:t xml:space="preserve"> to avoid another 15 minutes. </w:t>
      </w:r>
      <w:r>
        <w:rPr>
          <w:rFonts w:eastAsia="Times New Roman" w:cs="Times New Roman" w:ascii="Times New Roman" w:hAnsi="Times New Roman"/>
          <w:b/>
          <w:bCs/>
          <w:sz w:val="24"/>
          <w:szCs w:val="24"/>
        </w:rPr>
        <w:t>d</w:t>
      </w:r>
      <w:r>
        <w:rPr>
          <w:rFonts w:eastAsia="Times New Roman" w:cs="Times New Roman" w:ascii="Times New Roman" w:hAnsi="Times New Roman"/>
          <w:sz w:val="24"/>
          <w:szCs w:val="24"/>
          <w:vertAlign w:val="subscript"/>
        </w:rPr>
        <w:t>A</w:t>
      </w:r>
      <w:r>
        <w:rPr>
          <w:rFonts w:eastAsia="Times New Roman" w:cs="Times New Roman" w:ascii="Times New Roman" w:hAnsi="Times New Roman"/>
          <w:b/>
          <w:bCs/>
          <w:sz w:val="24"/>
          <w:szCs w:val="24"/>
        </w:rPr>
        <w:t xml:space="preserve"> = 7/10</w:t>
      </w:r>
      <w:r>
        <w:rPr>
          <w:rFonts w:eastAsia="Times New Roman" w:cs="Times New Roman" w:ascii="Times New Roman" w:hAnsi="Times New Roman"/>
          <w:sz w:val="24"/>
          <w:szCs w:val="24"/>
        </w:rPr>
        <w:t>. The amount surprised me – 15 PLN is roughly the price of a lunch, and I was ready to pay that to avoid 15 minutes of nothing. What I was valuing was not “time” in the abstract but relief from the aversive state of forced inactivity and loss of control over my attention.</w:t>
      </w:r>
    </w:p>
    <w:p>
      <w:pPr>
        <w:pStyle w:val="Heading2"/>
        <w:spacing w:before="300" w:after="160"/>
        <w:rPr/>
      </w:pPr>
      <w:r>
        <w:rPr>
          <w:rFonts w:eastAsia="Times New Roman" w:cs="Times New Roman" w:ascii="Times New Roman" w:hAnsi="Times New Roman"/>
          <w:b/>
          <w:bCs/>
          <w:sz w:val="26"/>
          <w:szCs w:val="26"/>
        </w:rPr>
        <w:t>Session C: Calm/Neutral Condition</w:t>
      </w:r>
    </w:p>
    <w:p>
      <w:pPr>
        <w:pStyle w:val="Normal"/>
        <w:spacing w:lineRule="exact" w:line="340" w:before="0" w:after="160"/>
        <w:jc w:val="both"/>
        <w:rPr/>
      </w:pPr>
      <w:r>
        <w:rPr>
          <w:rFonts w:eastAsia="Times New Roman" w:cs="Times New Roman" w:ascii="Times New Roman" w:hAnsi="Times New Roman"/>
          <w:sz w:val="24"/>
          <w:szCs w:val="24"/>
        </w:rPr>
        <w:t xml:space="preserve">15 minutes with tea, looking out the window. No phone. This was substantially easier – not pleasant exactly, but not aversive. The time passed without the sharp restlessness of Session A. After stopping: </w:t>
      </w:r>
      <w:r>
        <w:rPr>
          <w:rFonts w:eastAsia="Times New Roman" w:cs="Times New Roman" w:ascii="Times New Roman" w:hAnsi="Times New Roman"/>
          <w:b/>
          <w:bCs/>
          <w:sz w:val="24"/>
          <w:szCs w:val="24"/>
        </w:rPr>
        <w:t>WTP</w:t>
      </w:r>
      <w:r>
        <w:rPr>
          <w:rFonts w:eastAsia="Times New Roman" w:cs="Times New Roman" w:ascii="Times New Roman" w:hAnsi="Times New Roman"/>
          <w:sz w:val="24"/>
          <w:szCs w:val="24"/>
          <w:vertAlign w:val="subscript"/>
        </w:rPr>
        <w:t>C</w:t>
      </w:r>
      <w:r>
        <w:rPr>
          <w:rFonts w:eastAsia="Times New Roman" w:cs="Times New Roman" w:ascii="Times New Roman" w:hAnsi="Times New Roman"/>
          <w:b/>
          <w:bCs/>
          <w:sz w:val="24"/>
          <w:szCs w:val="24"/>
        </w:rPr>
        <w:t xml:space="preserve"> = 8 PLN</w:t>
      </w: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d</w:t>
      </w:r>
      <w:r>
        <w:rPr>
          <w:rFonts w:eastAsia="Times New Roman" w:cs="Times New Roman" w:ascii="Times New Roman" w:hAnsi="Times New Roman"/>
          <w:sz w:val="24"/>
          <w:szCs w:val="24"/>
          <w:vertAlign w:val="subscript"/>
        </w:rPr>
        <w:t>C</w:t>
      </w:r>
      <w:r>
        <w:rPr>
          <w:rFonts w:eastAsia="Times New Roman" w:cs="Times New Roman" w:ascii="Times New Roman" w:hAnsi="Times New Roman"/>
          <w:b/>
          <w:bCs/>
          <w:sz w:val="24"/>
          <w:szCs w:val="24"/>
        </w:rPr>
        <w:t xml:space="preserve"> = 2/10</w:t>
      </w:r>
      <w:r>
        <w:rPr>
          <w:rFonts w:eastAsia="Times New Roman" w:cs="Times New Roman" w:ascii="Times New Roman" w:hAnsi="Times New Roman"/>
          <w:sz w:val="24"/>
          <w:szCs w:val="24"/>
        </w:rPr>
        <w:t>. Still positive – I would still pay something to avoid another 15 minutes, which tells me that even low-discomfort time has an opportunity cost. But the WTP dropped by almost half, confirming that much of Session A’s valuation was driven by boredom-specific discomfort, not “time” per se.</w:t>
      </w:r>
    </w:p>
    <w:p>
      <w:pPr>
        <w:pStyle w:val="Heading2"/>
        <w:spacing w:before="300" w:after="160"/>
        <w:rPr/>
      </w:pPr>
      <w:r>
        <w:rPr>
          <w:rFonts w:eastAsia="Times New Roman" w:cs="Times New Roman" w:ascii="Times New Roman" w:hAnsi="Times New Roman"/>
          <w:b/>
          <w:bCs/>
          <w:sz w:val="26"/>
          <w:szCs w:val="26"/>
        </w:rPr>
        <w:t>Extrapolation to V_time</w:t>
      </w:r>
    </w:p>
    <w:p>
      <w:pPr>
        <w:pStyle w:val="Normal"/>
        <w:spacing w:lineRule="exact" w:line="340" w:before="0" w:after="160"/>
        <w:jc w:val="both"/>
        <w:rPr/>
      </w:pPr>
      <w:r>
        <w:rPr>
          <w:rFonts w:eastAsia="Times New Roman" w:cs="Times New Roman" w:ascii="Times New Roman" w:hAnsi="Times New Roman"/>
          <w:sz w:val="24"/>
          <w:szCs w:val="24"/>
        </w:rPr>
        <w:t xml:space="preserve">Using the linear extrapolation: b = (15 – 8) / (7 – 2) = 1.40 PLN per discomfort unit. a = 8 – 1.40 × 2 = 5.20 PLN per 15 minutes at discomfort = 0. Therefore </w:t>
      </w:r>
      <w:r>
        <w:rPr>
          <w:rFonts w:eastAsia="Times New Roman" w:cs="Times New Roman" w:ascii="Times New Roman" w:hAnsi="Times New Roman"/>
          <w:b/>
          <w:bCs/>
          <w:sz w:val="24"/>
          <w:szCs w:val="24"/>
        </w:rPr>
        <w:t>V</w:t>
      </w:r>
      <w:r>
        <w:rPr>
          <w:rFonts w:eastAsia="Times New Roman" w:cs="Times New Roman" w:ascii="Times New Roman" w:hAnsi="Times New Roman"/>
          <w:sz w:val="24"/>
          <w:szCs w:val="24"/>
          <w:vertAlign w:val="subscript"/>
        </w:rPr>
        <w:t>time</w:t>
      </w:r>
      <w:r>
        <w:rPr>
          <w:rFonts w:eastAsia="Times New Roman" w:cs="Times New Roman" w:ascii="Times New Roman" w:hAnsi="Times New Roman"/>
          <w:b/>
          <w:bCs/>
          <w:sz w:val="24"/>
          <w:szCs w:val="24"/>
        </w:rPr>
        <w:t xml:space="preserve"> = 4a ≈ 20.8 PLN/h</w:t>
      </w:r>
      <w:r>
        <w:rPr>
          <w:rFonts w:eastAsia="Times New Roman" w:cs="Times New Roman" w:ascii="Times New Roman" w:hAnsi="Times New Roman"/>
          <w:sz w:val="24"/>
          <w:szCs w:val="24"/>
        </w:rPr>
        <w:t xml:space="preserve">, which I round to </w:t>
      </w:r>
      <w:r>
        <w:rPr>
          <w:rFonts w:eastAsia="Times New Roman" w:cs="Times New Roman" w:ascii="Times New Roman" w:hAnsi="Times New Roman"/>
          <w:b/>
          <w:bCs/>
          <w:sz w:val="24"/>
          <w:szCs w:val="24"/>
        </w:rPr>
        <w:t>21 PLN/h</w:t>
      </w:r>
      <w:r>
        <w:rPr>
          <w:rFonts w:eastAsia="Times New Roman" w:cs="Times New Roman" w:ascii="Times New Roman" w:hAnsi="Times New Roman"/>
          <w:sz w:val="24"/>
          <w:szCs w:val="24"/>
        </w:rPr>
        <w:t xml:space="preserve">. For a student in Poland this is plausible – it is close to the median student hourly wage. The interpretation: if I could buy back an hour of my life from “neutral nothingness,” I would pay about 21 PLN. This is the value I use as </w:t>
      </w:r>
      <w:r>
        <w:rPr>
          <w:rFonts w:eastAsia="Times New Roman" w:cs="Times New Roman" w:ascii="Times New Roman" w:hAnsi="Times New Roman"/>
          <w:i/>
          <w:iCs/>
          <w:sz w:val="24"/>
          <w:szCs w:val="24"/>
        </w:rPr>
        <w:t>v</w:t>
      </w:r>
      <w:r>
        <w:rPr>
          <w:rFonts w:eastAsia="Times New Roman" w:cs="Times New Roman" w:ascii="Times New Roman" w:hAnsi="Times New Roman"/>
          <w:sz w:val="24"/>
          <w:szCs w:val="24"/>
        </w:rPr>
        <w:t xml:space="preserve"> in the Shiny app for Parts 2–3.</w:t>
      </w:r>
    </w:p>
    <w:p>
      <w:pPr>
        <w:pStyle w:val="Heading1"/>
        <w:spacing w:before="300" w:after="160"/>
        <w:rPr/>
      </w:pPr>
      <w:r>
        <w:rPr>
          <w:rFonts w:eastAsia="Times New Roman" w:cs="Times New Roman" w:ascii="Times New Roman" w:hAnsi="Times New Roman"/>
          <w:b/>
          <w:bCs/>
          <w:sz w:val="30"/>
          <w:szCs w:val="30"/>
        </w:rPr>
        <w:t>Part 2: PV of Scrolling vs. WHL (Exponential Discounting)</w:t>
      </w:r>
    </w:p>
    <w:p>
      <w:pPr>
        <w:pStyle w:val="Normal"/>
        <w:spacing w:lineRule="exact" w:line="340" w:before="0" w:after="160"/>
        <w:jc w:val="both"/>
        <w:rPr/>
      </w:pPr>
      <w:r>
        <w:rPr>
          <w:rFonts w:eastAsia="Times New Roman" w:cs="Times New Roman" w:ascii="Times New Roman" w:hAnsi="Times New Roman"/>
          <w:b/>
          <w:bCs/>
          <w:sz w:val="24"/>
          <w:szCs w:val="24"/>
        </w:rPr>
        <w:t xml:space="preserve">My parameters. </w:t>
      </w:r>
      <w:r>
        <w:rPr>
          <w:rFonts w:eastAsia="Times New Roman" w:cs="Times New Roman" w:ascii="Times New Roman" w:hAnsi="Times New Roman"/>
          <w:sz w:val="24"/>
          <w:szCs w:val="24"/>
        </w:rPr>
        <w:t>v = 21 PLN/h, m = 90 min/day of mindless scrolling (Instagram reels, YouTube shorts – I tracked this with screen time for a week and it averaged 85–95 min/day). h = 1.5 h/day. C</w:t>
      </w:r>
      <w:r>
        <w:rPr>
          <w:rFonts w:eastAsia="Times New Roman" w:cs="Times New Roman" w:ascii="Times New Roman" w:hAnsi="Times New Roman"/>
          <w:sz w:val="24"/>
          <w:szCs w:val="24"/>
          <w:vertAlign w:val="subscript"/>
        </w:rPr>
        <w:t>d</w:t>
      </w:r>
      <w:r>
        <w:rPr>
          <w:rFonts w:eastAsia="Times New Roman" w:cs="Times New Roman" w:ascii="Times New Roman" w:hAnsi="Times New Roman"/>
          <w:sz w:val="24"/>
          <w:szCs w:val="24"/>
        </w:rPr>
        <w:t xml:space="preserve"> = 21 × 1.5 = 31.5 PLN/day. C</w:t>
      </w:r>
      <w:r>
        <w:rPr>
          <w:rFonts w:eastAsia="Times New Roman" w:cs="Times New Roman" w:ascii="Times New Roman" w:hAnsi="Times New Roman"/>
          <w:sz w:val="24"/>
          <w:szCs w:val="24"/>
          <w:vertAlign w:val="subscript"/>
        </w:rPr>
        <w:t>y</w:t>
      </w:r>
      <w:r>
        <w:rPr>
          <w:rFonts w:eastAsia="Times New Roman" w:cs="Times New Roman" w:ascii="Times New Roman" w:hAnsi="Times New Roman"/>
          <w:sz w:val="24"/>
          <w:szCs w:val="24"/>
        </w:rPr>
        <w:t xml:space="preserve"> = 31.5 × 365 = 11,498 PLN/year. Horizon T = 50 years, Y</w:t>
      </w:r>
      <w:r>
        <w:rPr>
          <w:rFonts w:eastAsia="Times New Roman" w:cs="Times New Roman" w:ascii="Times New Roman" w:hAnsi="Times New Roman"/>
          <w:sz w:val="24"/>
          <w:szCs w:val="24"/>
          <w:vertAlign w:val="subscript"/>
        </w:rPr>
        <w:t>0</w:t>
      </w:r>
      <w:r>
        <w:rPr>
          <w:rFonts w:eastAsia="Times New Roman" w:cs="Times New Roman" w:ascii="Times New Roman" w:hAnsi="Times New Roman"/>
          <w:sz w:val="24"/>
          <w:szCs w:val="24"/>
        </w:rPr>
        <w:t xml:space="preserve"> = 80,000 PLN/year (expected starting salary in finance/trading), g = 2% real growth, π</w:t>
      </w:r>
      <w:r>
        <w:rPr>
          <w:rFonts w:eastAsia="Times New Roman" w:cs="Times New Roman" w:ascii="Times New Roman" w:hAnsi="Times New Roman"/>
          <w:sz w:val="24"/>
          <w:szCs w:val="24"/>
          <w:vertAlign w:val="subscript"/>
        </w:rPr>
        <w:t>t</w:t>
      </w:r>
      <w:r>
        <w:rPr>
          <w:rFonts w:eastAsia="Times New Roman" w:cs="Times New Roman" w:ascii="Times New Roman" w:hAnsi="Times New Roman"/>
          <w:sz w:val="24"/>
          <w:szCs w:val="24"/>
        </w:rPr>
        <w:t xml:space="preserve"> = 1 (constant life weights).</w:t>
      </w:r>
    </w:p>
    <w:p>
      <w:pPr>
        <w:pStyle w:val="Normal"/>
        <w:spacing w:lineRule="exact" w:line="340" w:before="0" w:after="160"/>
        <w:jc w:val="both"/>
        <w:rPr/>
      </w:pPr>
      <w:r>
        <w:rPr>
          <w:rFonts w:eastAsia="Times New Roman" w:cs="Times New Roman" w:ascii="Times New Roman" w:hAnsi="Times New Roman"/>
          <w:b/>
          <w:bCs/>
          <w:sz w:val="24"/>
          <w:szCs w:val="24"/>
        </w:rPr>
        <w:t xml:space="preserve">Results from the Shiny app (exponential). </w:t>
      </w:r>
      <w:r>
        <w:rPr>
          <w:rFonts w:eastAsia="Times New Roman" w:cs="Times New Roman" w:ascii="Times New Roman" w:hAnsi="Times New Roman"/>
          <w:sz w:val="24"/>
          <w:szCs w:val="24"/>
        </w:rPr>
        <w:t>At r = 3%: WHL = 3,230,002 PLN, PV</w:t>
      </w:r>
      <w:r>
        <w:rPr>
          <w:rFonts w:eastAsia="Times New Roman" w:cs="Times New Roman" w:ascii="Times New Roman" w:hAnsi="Times New Roman"/>
          <w:sz w:val="24"/>
          <w:szCs w:val="24"/>
          <w:vertAlign w:val="subscript"/>
        </w:rPr>
        <w:t>scroll</w:t>
      </w:r>
      <w:r>
        <w:rPr>
          <w:rFonts w:eastAsia="Times New Roman" w:cs="Times New Roman" w:ascii="Times New Roman" w:hAnsi="Times New Roman"/>
          <w:sz w:val="24"/>
          <w:szCs w:val="24"/>
        </w:rPr>
        <w:t xml:space="preserve"> = 307,325 PLN, ratio = 9.5%. At r = 5%: WHL = 2,161,571, PV</w:t>
      </w:r>
      <w:r>
        <w:rPr>
          <w:rFonts w:eastAsia="Times New Roman" w:cs="Times New Roman" w:ascii="Times New Roman" w:hAnsi="Times New Roman"/>
          <w:sz w:val="24"/>
          <w:szCs w:val="24"/>
          <w:vertAlign w:val="subscript"/>
        </w:rPr>
        <w:t>scroll</w:t>
      </w:r>
      <w:r>
        <w:rPr>
          <w:rFonts w:eastAsia="Times New Roman" w:cs="Times New Roman" w:ascii="Times New Roman" w:hAnsi="Times New Roman"/>
          <w:sz w:val="24"/>
          <w:szCs w:val="24"/>
        </w:rPr>
        <w:t xml:space="preserve"> = 221,395, ratio = 10.2%. At r = 0%: ratio = 8.4%. The ratio rises with r because income grows at g = 2% but scrolling cost is constant – discounting penalizes the growing income stream more than the flat cost stream.</w:t>
      </w:r>
    </w:p>
    <w:p>
      <w:pPr>
        <w:pStyle w:val="Normal"/>
        <w:spacing w:lineRule="exact" w:line="340" w:before="0" w:after="160"/>
        <w:jc w:val="both"/>
        <w:rPr/>
      </w:pPr>
      <w:r>
        <w:rPr>
          <w:rFonts w:eastAsia="Times New Roman" w:cs="Times New Roman" w:ascii="Times New Roman" w:hAnsi="Times New Roman"/>
          <w:b/>
          <w:bCs/>
          <w:sz w:val="24"/>
          <w:szCs w:val="24"/>
        </w:rPr>
        <w:t xml:space="preserve">Interpretation. </w:t>
      </w:r>
      <w:r>
        <w:rPr>
          <w:rFonts w:eastAsia="Times New Roman" w:cs="Times New Roman" w:ascii="Times New Roman" w:hAnsi="Times New Roman"/>
          <w:sz w:val="24"/>
          <w:szCs w:val="24"/>
        </w:rPr>
        <w:t>Scrolling consumes roughly 8–12% of my lifetime economic resources depending on the discount rate. At the baseline r = 3%, it is 9.5% – nearly a tenth of my WHL. In absolute terms, ~307,000 PLN is the price of a flat in a Polish city. This is a large number, but three caveats matter. First, not all scrolling is “waste” – some of it has consumption value (entertainment, social connection). The model treats all m minutes as pure loss, which overstates the cost. Second, V</w:t>
      </w:r>
      <w:r>
        <w:rPr>
          <w:rFonts w:eastAsia="Times New Roman" w:cs="Times New Roman" w:ascii="Times New Roman" w:hAnsi="Times New Roman"/>
          <w:sz w:val="24"/>
          <w:szCs w:val="24"/>
          <w:vertAlign w:val="subscript"/>
        </w:rPr>
        <w:t>time</w:t>
      </w:r>
      <w:r>
        <w:rPr>
          <w:rFonts w:eastAsia="Times New Roman" w:cs="Times New Roman" w:ascii="Times New Roman" w:hAnsi="Times New Roman"/>
          <w:sz w:val="24"/>
          <w:szCs w:val="24"/>
        </w:rPr>
        <w:t xml:space="preserve"> was estimated from boredom extrapolation, which may not equal the true opportunity cost of scrolling time (I might not use that time productively). Third, C</w:t>
      </w:r>
      <w:r>
        <w:rPr>
          <w:rFonts w:eastAsia="Times New Roman" w:cs="Times New Roman" w:ascii="Times New Roman" w:hAnsi="Times New Roman"/>
          <w:sz w:val="24"/>
          <w:szCs w:val="24"/>
          <w:vertAlign w:val="subscript"/>
        </w:rPr>
        <w:t>y</w:t>
      </w:r>
      <w:r>
        <w:rPr>
          <w:rFonts w:eastAsia="Times New Roman" w:cs="Times New Roman" w:ascii="Times New Roman" w:hAnsi="Times New Roman"/>
          <w:sz w:val="24"/>
          <w:szCs w:val="24"/>
        </w:rPr>
        <w:t xml:space="preserve"> is assumed constant over 50 years, but scrolling habits change with age.</w:t>
      </w:r>
    </w:p>
    <w:p>
      <w:pPr>
        <w:pStyle w:val="Normal"/>
        <w:spacing w:lineRule="exact" w:line="340" w:before="0" w:after="160"/>
        <w:jc w:val="both"/>
        <w:rPr/>
      </w:pPr>
      <w:r>
        <w:rPr>
          <w:rFonts w:eastAsia="Times New Roman" w:cs="Times New Roman" w:ascii="Times New Roman" w:hAnsi="Times New Roman"/>
          <w:b/>
          <w:bCs/>
          <w:sz w:val="24"/>
          <w:szCs w:val="24"/>
        </w:rPr>
        <w:t xml:space="preserve">Sensitivity. </w:t>
      </w:r>
      <w:r>
        <w:rPr>
          <w:rFonts w:eastAsia="Times New Roman" w:cs="Times New Roman" w:ascii="Times New Roman" w:hAnsi="Times New Roman"/>
          <w:sz w:val="24"/>
          <w:szCs w:val="24"/>
        </w:rPr>
        <w:t>The most sensitive parameters are m and v. Halving scrolling to 45 min/day halves PV</w:t>
      </w:r>
      <w:r>
        <w:rPr>
          <w:rFonts w:eastAsia="Times New Roman" w:cs="Times New Roman" w:ascii="Times New Roman" w:hAnsi="Times New Roman"/>
          <w:sz w:val="24"/>
          <w:szCs w:val="24"/>
          <w:vertAlign w:val="subscript"/>
        </w:rPr>
        <w:t>scroll</w:t>
      </w:r>
      <w:r>
        <w:rPr>
          <w:rFonts w:eastAsia="Times New Roman" w:cs="Times New Roman" w:ascii="Times New Roman" w:hAnsi="Times New Roman"/>
          <w:sz w:val="24"/>
          <w:szCs w:val="24"/>
        </w:rPr>
        <w:t xml:space="preserve"> and the ratio drops to ~4.8%. Doubling v to 42 PLN/h doubles the ratio to ~19%. The discount rate r matters less than I expected: the ratio only moves from 8.4% (r = 0) to 11.7% (r = 10%). The growth rate g is important indirectly: without income growth (g = 0), the ratio would be simply C</w:t>
      </w:r>
      <w:r>
        <w:rPr>
          <w:rFonts w:eastAsia="Times New Roman" w:cs="Times New Roman" w:ascii="Times New Roman" w:hAnsi="Times New Roman"/>
          <w:sz w:val="24"/>
          <w:szCs w:val="24"/>
          <w:vertAlign w:val="subscript"/>
        </w:rPr>
        <w:t>y</w:t>
      </w:r>
      <w:r>
        <w:rPr>
          <w:rFonts w:eastAsia="Times New Roman" w:cs="Times New Roman" w:ascii="Times New Roman" w:hAnsi="Times New Roman"/>
          <w:sz w:val="24"/>
          <w:szCs w:val="24"/>
        </w:rPr>
        <w:t>/Y</w:t>
      </w:r>
      <w:r>
        <w:rPr>
          <w:rFonts w:eastAsia="Times New Roman" w:cs="Times New Roman" w:ascii="Times New Roman" w:hAnsi="Times New Roman"/>
          <w:sz w:val="24"/>
          <w:szCs w:val="24"/>
          <w:vertAlign w:val="subscript"/>
        </w:rPr>
        <w:t>0</w:t>
      </w:r>
      <w:r>
        <w:rPr>
          <w:rFonts w:eastAsia="Times New Roman" w:cs="Times New Roman" w:ascii="Times New Roman" w:hAnsi="Times New Roman"/>
          <w:sz w:val="24"/>
          <w:szCs w:val="24"/>
        </w:rPr>
        <w:t xml:space="preserve"> = 14.4% regardless of r – a mathematical identity, since both numerator and denominator are present values of constant streams. Income growth makes WHL grow faster than scrolling cost, shrinking the ratio.</w:t>
      </w:r>
    </w:p>
    <w:p>
      <w:pPr>
        <w:pStyle w:val="Heading1"/>
        <w:spacing w:before="300" w:after="160"/>
        <w:rPr/>
      </w:pPr>
      <w:r>
        <w:rPr>
          <w:rFonts w:eastAsia="Times New Roman" w:cs="Times New Roman" w:ascii="Times New Roman" w:hAnsi="Times New Roman"/>
          <w:b/>
          <w:bCs/>
          <w:sz w:val="30"/>
          <w:szCs w:val="30"/>
        </w:rPr>
        <w:t>Part 3: Quasi-Hyperbolic Discounting (β–δ)</w:t>
      </w:r>
    </w:p>
    <w:p>
      <w:pPr>
        <w:pStyle w:val="Normal"/>
        <w:spacing w:lineRule="exact" w:line="340" w:before="0" w:after="160"/>
        <w:jc w:val="both"/>
        <w:rPr/>
      </w:pPr>
      <w:r>
        <w:rPr>
          <w:rFonts w:eastAsia="Times New Roman" w:cs="Times New Roman" w:ascii="Times New Roman" w:hAnsi="Times New Roman"/>
          <w:b/>
          <w:bCs/>
          <w:sz w:val="24"/>
          <w:szCs w:val="24"/>
        </w:rPr>
        <w:t xml:space="preserve">What changes with β &lt; 1. </w:t>
      </w:r>
      <w:r>
        <w:rPr>
          <w:rFonts w:eastAsia="Times New Roman" w:cs="Times New Roman" w:ascii="Times New Roman" w:hAnsi="Times New Roman"/>
          <w:sz w:val="24"/>
          <w:szCs w:val="24"/>
        </w:rPr>
        <w:t>Setting β = 0.85 in the app: at r = 3%, WHL</w:t>
      </w:r>
      <w:r>
        <w:rPr>
          <w:rFonts w:eastAsia="Times New Roman" w:cs="Times New Roman" w:ascii="Times New Roman" w:hAnsi="Times New Roman"/>
          <w:sz w:val="24"/>
          <w:szCs w:val="24"/>
          <w:vertAlign w:val="subscript"/>
        </w:rPr>
        <w:t>hyp</w:t>
      </w:r>
      <w:r>
        <w:rPr>
          <w:rFonts w:eastAsia="Times New Roman" w:cs="Times New Roman" w:ascii="Times New Roman" w:hAnsi="Times New Roman"/>
          <w:sz w:val="24"/>
          <w:szCs w:val="24"/>
        </w:rPr>
        <w:t xml:space="preserve"> = 2,757,502 PLN, PV</w:t>
      </w:r>
      <w:r>
        <w:rPr>
          <w:rFonts w:eastAsia="Times New Roman" w:cs="Times New Roman" w:ascii="Times New Roman" w:hAnsi="Times New Roman"/>
          <w:sz w:val="24"/>
          <w:szCs w:val="24"/>
          <w:vertAlign w:val="subscript"/>
        </w:rPr>
        <w:t>scroll,hyp</w:t>
      </w:r>
      <w:r>
        <w:rPr>
          <w:rFonts w:eastAsia="Times New Roman" w:cs="Times New Roman" w:ascii="Times New Roman" w:hAnsi="Times New Roman"/>
          <w:sz w:val="24"/>
          <w:szCs w:val="24"/>
        </w:rPr>
        <w:t xml:space="preserve"> = 262,951 PLN, ratio = 9.54%. The ratio barely changes (from 9.52% to 9.54%). This is because β multiplies both the numerator and denominator for t ≥ 1 by the same factor – it cancels in the ratio. The app confirms this: the ratio plot for exponential and β–δ nearly overlap. This is a crucial mathematical observation: present bias does not change the ratio of two identically-timed streams.</w:t>
      </w:r>
    </w:p>
    <w:p>
      <w:pPr>
        <w:pStyle w:val="Normal"/>
        <w:spacing w:lineRule="exact" w:line="340" w:before="0" w:after="160"/>
        <w:jc w:val="both"/>
        <w:rPr/>
      </w:pPr>
      <w:r>
        <w:rPr>
          <w:rFonts w:eastAsia="Times New Roman" w:cs="Times New Roman" w:ascii="Times New Roman" w:hAnsi="Times New Roman"/>
          <w:b/>
          <w:bCs/>
          <w:sz w:val="24"/>
          <w:szCs w:val="24"/>
        </w:rPr>
        <w:t xml:space="preserve">Where β matters: not the ratio, but the decision. </w:t>
      </w:r>
      <w:r>
        <w:rPr>
          <w:rFonts w:eastAsia="Times New Roman" w:cs="Times New Roman" w:ascii="Times New Roman" w:hAnsi="Times New Roman"/>
          <w:sz w:val="24"/>
          <w:szCs w:val="24"/>
        </w:rPr>
        <w:t>The ratio PV</w:t>
      </w:r>
      <w:r>
        <w:rPr>
          <w:rFonts w:eastAsia="Times New Roman" w:cs="Times New Roman" w:ascii="Times New Roman" w:hAnsi="Times New Roman"/>
          <w:sz w:val="24"/>
          <w:szCs w:val="24"/>
          <w:vertAlign w:val="subscript"/>
        </w:rPr>
        <w:t>scroll</w:t>
      </w:r>
      <w:r>
        <w:rPr>
          <w:rFonts w:eastAsia="Times New Roman" w:cs="Times New Roman" w:ascii="Times New Roman" w:hAnsi="Times New Roman"/>
          <w:sz w:val="24"/>
          <w:szCs w:val="24"/>
        </w:rPr>
        <w:t xml:space="preserve">/WHL is a planning tool – it compares two futures. But present bias distorts the </w:t>
      </w:r>
      <w:r>
        <w:rPr>
          <w:rFonts w:eastAsia="Times New Roman" w:cs="Times New Roman" w:ascii="Times New Roman" w:hAnsi="Times New Roman"/>
          <w:i/>
          <w:iCs/>
          <w:sz w:val="24"/>
          <w:szCs w:val="24"/>
        </w:rPr>
        <w:t>moment of choice</w:t>
      </w:r>
      <w:r>
        <w:rPr>
          <w:rFonts w:eastAsia="Times New Roman" w:cs="Times New Roman" w:ascii="Times New Roman" w:hAnsi="Times New Roman"/>
          <w:sz w:val="24"/>
          <w:szCs w:val="24"/>
        </w:rPr>
        <w:t>, not the comparison of future streams. When β &lt; 1, the agent overweights the immediate reward of scrolling (dopamine hit now) relative to the entire future cost. The 307,000 PLN lifetime cost is computed by a “cold” planner; the “hot” me at 11 PM weights tonight’s scrolling at D(0) = 1 and tomorrow’s cost at β × δ = 0.85 × 0.97 = 0.82. That 18% haircut on tomorrow is enough to tip the choice toward scrolling every single night.</w:t>
      </w:r>
    </w:p>
    <w:p>
      <w:pPr>
        <w:pStyle w:val="Normal"/>
        <w:spacing w:lineRule="exact" w:line="340" w:before="0" w:after="160"/>
        <w:jc w:val="both"/>
        <w:rPr/>
      </w:pPr>
      <w:r>
        <w:rPr>
          <w:rFonts w:eastAsia="Times New Roman" w:cs="Times New Roman" w:ascii="Times New Roman" w:hAnsi="Times New Roman"/>
          <w:b/>
          <w:bCs/>
          <w:sz w:val="24"/>
          <w:szCs w:val="24"/>
        </w:rPr>
        <w:t xml:space="preserve">Time inconsistency. </w:t>
      </w:r>
      <w:r>
        <w:rPr>
          <w:rFonts w:eastAsia="Times New Roman" w:cs="Times New Roman" w:ascii="Times New Roman" w:hAnsi="Times New Roman"/>
          <w:sz w:val="24"/>
          <w:szCs w:val="24"/>
        </w:rPr>
        <w:t>This morning I planned to limit scrolling to 30 minutes tonight. By 10 PM, the plan felt irrelevant – the reference point shifted from “my future self” to “me right now, tired, wanting dopamine.” Nothing changed about the math from Part 2. What changed was the discount weight on “now.” This is the β mechanism: the plan was made with exponential weights (future looked properly large), but execution happens with β–δ weights (future is suddenly 15% lighter). The result is a predictable plan-execution gap.</w:t>
      </w:r>
    </w:p>
    <w:p>
      <w:pPr>
        <w:pStyle w:val="Normal"/>
        <w:spacing w:lineRule="exact" w:line="340" w:before="0" w:after="160"/>
        <w:jc w:val="both"/>
        <w:rPr/>
      </w:pPr>
      <w:r>
        <w:rPr>
          <w:rFonts w:eastAsia="Times New Roman" w:cs="Times New Roman" w:ascii="Times New Roman" w:hAnsi="Times New Roman"/>
          <w:b/>
          <w:bCs/>
          <w:sz w:val="24"/>
          <w:szCs w:val="24"/>
        </w:rPr>
        <w:t xml:space="preserve">Wellbeing loop. </w:t>
      </w:r>
      <w:r>
        <w:rPr>
          <w:rFonts w:eastAsia="Times New Roman" w:cs="Times New Roman" w:ascii="Times New Roman" w:hAnsi="Times New Roman"/>
          <w:sz w:val="24"/>
          <w:szCs w:val="24"/>
        </w:rPr>
        <w:t>When future rewards are underweighted, the cycle is: (1) immediate relief from scrolling → (2) deferred cost (lost sleep, unfinished work) → (3) increased stress tomorrow → (4) stronger preference for immediate relief tomorrow night. Each iteration reinforces the habit because the stress itself makes the present reward more valuable relative to the (discounted) future cost. This is not a moral failing – it is a mechanical consequence of β &lt; 1 combined with a designed reinforcement schedule.</w:t>
      </w:r>
    </w:p>
    <w:p>
      <w:pPr>
        <w:pStyle w:val="Normal"/>
        <w:spacing w:lineRule="exact" w:line="340" w:before="0" w:after="160"/>
        <w:jc w:val="both"/>
        <w:rPr/>
      </w:pPr>
      <w:r>
        <w:rPr>
          <w:rFonts w:eastAsia="Times New Roman" w:cs="Times New Roman" w:ascii="Times New Roman" w:hAnsi="Times New Roman"/>
          <w:b/>
          <w:bCs/>
          <w:sz w:val="24"/>
          <w:szCs w:val="24"/>
        </w:rPr>
        <w:t xml:space="preserve">Model sensitivity. </w:t>
      </w:r>
      <w:r>
        <w:rPr>
          <w:rFonts w:eastAsia="Times New Roman" w:cs="Times New Roman" w:ascii="Times New Roman" w:hAnsi="Times New Roman"/>
          <w:sz w:val="24"/>
          <w:szCs w:val="24"/>
        </w:rPr>
        <w:t xml:space="preserve">Exponential discounting in Part 2 is “too optimistic” about me because it assumes I weigh tonight’s scrolling and tomorrow’s cost with the same patience. In reality, I don’t. The β–δ model is useful because it explains </w:t>
      </w:r>
      <w:r>
        <w:rPr>
          <w:rFonts w:eastAsia="Times New Roman" w:cs="Times New Roman" w:ascii="Times New Roman" w:hAnsi="Times New Roman"/>
          <w:i/>
          <w:iCs/>
          <w:sz w:val="24"/>
          <w:szCs w:val="24"/>
        </w:rPr>
        <w:t>why</w:t>
      </w:r>
      <w:r>
        <w:rPr>
          <w:rFonts w:eastAsia="Times New Roman" w:cs="Times New Roman" w:ascii="Times New Roman" w:hAnsi="Times New Roman"/>
          <w:sz w:val="24"/>
          <w:szCs w:val="24"/>
        </w:rPr>
        <w:t xml:space="preserve"> I scroll 90 minutes despite knowing the lifetime cost is 307,000 PLN: the knowledge lives in the exponential planner, but the behavior is governed by the β-weighted decider. The model is not “literally true” – β is not a fixed constant, it varies with fatigue, mood, and context – but it captures the core asymmetry between planning and execution.</w:t>
      </w:r>
    </w:p>
    <w:p>
      <w:pPr>
        <w:pStyle w:val="Heading1"/>
        <w:spacing w:before="300" w:after="160"/>
        <w:rPr/>
      </w:pPr>
      <w:r>
        <w:rPr>
          <w:rFonts w:eastAsia="Times New Roman" w:cs="Times New Roman" w:ascii="Times New Roman" w:hAnsi="Times New Roman"/>
          <w:b/>
          <w:bCs/>
          <w:sz w:val="30"/>
          <w:szCs w:val="30"/>
        </w:rPr>
        <w:t>Part 4: Ethical Reflection – Are My Choices Conscious?</w:t>
      </w:r>
    </w:p>
    <w:p>
      <w:pPr>
        <w:pStyle w:val="Normal"/>
        <w:spacing w:lineRule="exact" w:line="340" w:before="0" w:after="160"/>
        <w:jc w:val="both"/>
        <w:rPr/>
      </w:pPr>
      <w:r>
        <w:rPr>
          <w:rFonts w:eastAsia="Times New Roman" w:cs="Times New Roman" w:ascii="Times New Roman" w:hAnsi="Times New Roman"/>
          <w:b/>
          <w:bCs/>
          <w:sz w:val="24"/>
          <w:szCs w:val="24"/>
        </w:rPr>
        <w:t xml:space="preserve">Defining “conscious.” </w:t>
      </w:r>
      <w:r>
        <w:rPr>
          <w:rFonts w:eastAsia="Times New Roman" w:cs="Times New Roman" w:ascii="Times New Roman" w:hAnsi="Times New Roman"/>
          <w:sz w:val="24"/>
          <w:szCs w:val="24"/>
        </w:rPr>
        <w:t xml:space="preserve">Four possible criteria: (1) </w:t>
      </w:r>
      <w:r>
        <w:rPr>
          <w:rFonts w:eastAsia="Times New Roman" w:cs="Times New Roman" w:ascii="Times New Roman" w:hAnsi="Times New Roman"/>
          <w:i/>
          <w:iCs/>
          <w:sz w:val="24"/>
          <w:szCs w:val="24"/>
        </w:rPr>
        <w:t>information</w:t>
      </w:r>
      <w:r>
        <w:rPr>
          <w:rFonts w:eastAsia="Times New Roman" w:cs="Times New Roman" w:ascii="Times New Roman" w:hAnsi="Times New Roman"/>
          <w:sz w:val="24"/>
          <w:szCs w:val="24"/>
        </w:rPr>
        <w:t xml:space="preserve"> – I know what I’m doing, (2) </w:t>
      </w:r>
      <w:r>
        <w:rPr>
          <w:rFonts w:eastAsia="Times New Roman" w:cs="Times New Roman" w:ascii="Times New Roman" w:hAnsi="Times New Roman"/>
          <w:i/>
          <w:iCs/>
          <w:sz w:val="24"/>
          <w:szCs w:val="24"/>
        </w:rPr>
        <w:t>intention</w:t>
      </w:r>
      <w:r>
        <w:rPr>
          <w:rFonts w:eastAsia="Times New Roman" w:cs="Times New Roman" w:ascii="Times New Roman" w:hAnsi="Times New Roman"/>
          <w:sz w:val="24"/>
          <w:szCs w:val="24"/>
        </w:rPr>
        <w:t xml:space="preserve"> – I want to do it, (3) </w:t>
      </w:r>
      <w:r>
        <w:rPr>
          <w:rFonts w:eastAsia="Times New Roman" w:cs="Times New Roman" w:ascii="Times New Roman" w:hAnsi="Times New Roman"/>
          <w:i/>
          <w:iCs/>
          <w:sz w:val="24"/>
          <w:szCs w:val="24"/>
        </w:rPr>
        <w:t>control</w:t>
      </w:r>
      <w:r>
        <w:rPr>
          <w:rFonts w:eastAsia="Times New Roman" w:cs="Times New Roman" w:ascii="Times New Roman" w:hAnsi="Times New Roman"/>
          <w:sz w:val="24"/>
          <w:szCs w:val="24"/>
        </w:rPr>
        <w:t xml:space="preserve"> – I can stop, (4) </w:t>
      </w:r>
      <w:r>
        <w:rPr>
          <w:rFonts w:eastAsia="Times New Roman" w:cs="Times New Roman" w:ascii="Times New Roman" w:hAnsi="Times New Roman"/>
          <w:i/>
          <w:iCs/>
          <w:sz w:val="24"/>
          <w:szCs w:val="24"/>
        </w:rPr>
        <w:t>time-consistency</w:t>
      </w:r>
      <w:r>
        <w:rPr>
          <w:rFonts w:eastAsia="Times New Roman" w:cs="Times New Roman" w:ascii="Times New Roman" w:hAnsi="Times New Roman"/>
          <w:sz w:val="24"/>
          <w:szCs w:val="24"/>
        </w:rPr>
        <w:t xml:space="preserve"> – tomorrow-me would sign the same decision. My scrolling passes criterion 1 (I know the costs) and partially passes 3 (I can stop for a day if I try hard). It fails criterion 2 (I don’t </w:t>
      </w:r>
      <w:r>
        <w:rPr>
          <w:rFonts w:eastAsia="Times New Roman" w:cs="Times New Roman" w:ascii="Times New Roman" w:hAnsi="Times New Roman"/>
          <w:i/>
          <w:iCs/>
          <w:sz w:val="24"/>
          <w:szCs w:val="24"/>
        </w:rPr>
        <w:t>want</w:t>
      </w:r>
      <w:r>
        <w:rPr>
          <w:rFonts w:eastAsia="Times New Roman" w:cs="Times New Roman" w:ascii="Times New Roman" w:hAnsi="Times New Roman"/>
          <w:sz w:val="24"/>
          <w:szCs w:val="24"/>
        </w:rPr>
        <w:t xml:space="preserve"> to scroll 90 minutes – I want to scroll 5 and end up at 90) and clearly fails criterion 4 (every morning I regret last night’s scrolling). By any definition that includes time-consistency, my scrolling is not fully conscious.</w:t>
      </w:r>
    </w:p>
    <w:p>
      <w:pPr>
        <w:pStyle w:val="Normal"/>
        <w:spacing w:lineRule="exact" w:line="340" w:before="0" w:after="160"/>
        <w:jc w:val="both"/>
        <w:rPr/>
      </w:pPr>
      <w:r>
        <w:rPr>
          <w:rFonts w:eastAsia="Times New Roman" w:cs="Times New Roman" w:ascii="Times New Roman" w:hAnsi="Times New Roman"/>
          <w:b/>
          <w:bCs/>
          <w:sz w:val="24"/>
          <w:szCs w:val="24"/>
        </w:rPr>
        <w:t xml:space="preserve">Present bias as the mechanism. </w:t>
      </w:r>
      <w:r>
        <w:rPr>
          <w:rFonts w:eastAsia="Times New Roman" w:cs="Times New Roman" w:ascii="Times New Roman" w:hAnsi="Times New Roman"/>
          <w:sz w:val="24"/>
          <w:szCs w:val="24"/>
        </w:rPr>
        <w:t>The β–δ model formalizes this: at the moment of choice, D(0) = 1 for the immediate reward, but D(1) = βδ ≈ 0.82 for tomorrow’s cost. The “me-today” discounts tomorrow by 18% relative to what “me-yesterday” planned. This generates the conflict: yesterday’s plan (limit to 30 min) was made with exponential weights; tonight’s execution uses β-weighted preferences. The result is systematic plan violation – not because I lack information, but because the weighting function shifts when “now” arrives.</w:t>
      </w:r>
    </w:p>
    <w:p>
      <w:pPr>
        <w:pStyle w:val="Normal"/>
        <w:spacing w:lineRule="exact" w:line="340" w:before="0" w:after="160"/>
        <w:jc w:val="both"/>
        <w:rPr/>
      </w:pPr>
      <w:r>
        <w:rPr>
          <w:rFonts w:eastAsia="Times New Roman" w:cs="Times New Roman" w:ascii="Times New Roman" w:hAnsi="Times New Roman"/>
          <w:b/>
          <w:bCs/>
          <w:sz w:val="24"/>
          <w:szCs w:val="24"/>
        </w:rPr>
        <w:t xml:space="preserve">The design dimension. </w:t>
      </w:r>
      <w:r>
        <w:rPr>
          <w:rFonts w:eastAsia="Times New Roman" w:cs="Times New Roman" w:ascii="Times New Roman" w:hAnsi="Times New Roman"/>
          <w:sz w:val="24"/>
          <w:szCs w:val="24"/>
        </w:rPr>
        <w:t>Becker–Murphy’s rational addiction model assumes the consumer has stable preferences and full information about the addictive dynamics. Short-form content platforms violate both assumptions. The reinforcement schedule is designed to be unpredictable (variable reward timing), which maximizes dopamine response and makes stopping harder. The algorithm learns my vulnerabilities and serves content calibrated to extend sessions. I did not choose this reinforcement schedule – it was designed to exploit the exact β &lt; 1 asymmetry described above. Becker’s model treats the “addictive good” as passive; in reality, the good is an adaptive system that fights back against the consumer’s attempts to quit.</w:t>
      </w:r>
    </w:p>
    <w:p>
      <w:pPr>
        <w:pStyle w:val="Normal"/>
        <w:spacing w:lineRule="exact" w:line="340" w:before="0" w:after="160"/>
        <w:jc w:val="both"/>
        <w:rPr/>
      </w:pPr>
      <w:r>
        <w:rPr>
          <w:rFonts w:eastAsia="Times New Roman" w:cs="Times New Roman" w:ascii="Times New Roman" w:hAnsi="Times New Roman"/>
          <w:b/>
          <w:bCs/>
          <w:sz w:val="24"/>
          <w:szCs w:val="24"/>
        </w:rPr>
        <w:t xml:space="preserve">The wellbeing cycle. </w:t>
      </w:r>
      <w:r>
        <w:rPr>
          <w:rFonts w:eastAsia="Times New Roman" w:cs="Times New Roman" w:ascii="Times New Roman" w:hAnsi="Times New Roman"/>
          <w:sz w:val="24"/>
          <w:szCs w:val="24"/>
        </w:rPr>
        <w:t>Connecting to Part 2’s PV calculation: the 307,000 PLN lifetime cost exists in the exponential planner’s world. In the β-weighted world where I actually make decisions, that cost is perceived as β × 307,000 = 261,000 PLN – but even that figure is abstract and distant. What is concrete and immediate is the dopamine hit from the next reel. The cycle is: scrolling provides momentary relief → deferred cost accumulates (lost sleep, procrastination, guilt) → accumulated stress makes tomorrow’s immediate reward more appealing → more scrolling. Each loop iteration increases the gap between the planner’s world and the decider’s world.</w:t>
      </w:r>
    </w:p>
    <w:p>
      <w:pPr>
        <w:pStyle w:val="Normal"/>
        <w:spacing w:lineRule="exact" w:line="340" w:before="0" w:after="160"/>
        <w:jc w:val="both"/>
        <w:rPr/>
      </w:pPr>
      <w:r>
        <w:rPr>
          <w:rFonts w:eastAsia="Times New Roman" w:cs="Times New Roman" w:ascii="Times New Roman" w:hAnsi="Times New Roman"/>
          <w:b/>
          <w:bCs/>
          <w:sz w:val="24"/>
          <w:szCs w:val="24"/>
        </w:rPr>
        <w:t xml:space="preserve">Is Becker right in my case? </w:t>
      </w:r>
      <w:r>
        <w:rPr>
          <w:rFonts w:eastAsia="Times New Roman" w:cs="Times New Roman" w:ascii="Times New Roman" w:hAnsi="Times New Roman"/>
          <w:sz w:val="24"/>
          <w:szCs w:val="24"/>
        </w:rPr>
        <w:t xml:space="preserve">No. For rational addiction to describe my scrolling, three conditions would need to hold: (1) stable preferences (I would need to </w:t>
      </w:r>
      <w:r>
        <w:rPr>
          <w:rFonts w:eastAsia="Times New Roman" w:cs="Times New Roman" w:ascii="Times New Roman" w:hAnsi="Times New Roman"/>
          <w:i/>
          <w:iCs/>
          <w:sz w:val="24"/>
          <w:szCs w:val="24"/>
        </w:rPr>
        <w:t>want</w:t>
      </w:r>
      <w:r>
        <w:rPr>
          <w:rFonts w:eastAsia="Times New Roman" w:cs="Times New Roman" w:ascii="Times New Roman" w:hAnsi="Times New Roman"/>
          <w:sz w:val="24"/>
          <w:szCs w:val="24"/>
        </w:rPr>
        <w:t xml:space="preserve"> to scroll 90 min – I don’t), (2) full information about the addiction dynamics (I have some, but the algorithmic reinforcement schedule is deliberately opaque), and (3) time-consistency (my morning self and my evening self would need to agree – they do not). The model breaks at time-consistency most clearly: my behavior is predictably inconsistent in a way that β &lt; 1 explains and that Becker’s framework cannot accommodate without becoming unfalsifiable. If “rational” can describe any observed behavior by adjusting the utility function post hoc, it stops being a scientific claim and becomes a tautology.</w:t>
      </w:r>
      <w:r>
        <w:br w:type="page"/>
      </w:r>
    </w:p>
    <w:p>
      <w:pPr>
        <w:pStyle w:val="Normal"/>
        <w:spacing w:before="0" w:after="160"/>
        <w:rPr/>
      </w:pPr>
      <w:r>
        <w:rPr/>
        <w:br/>
      </w:r>
    </w:p>
    <w:p>
      <w:pPr>
        <w:pStyle w:val="Heading1"/>
        <w:spacing w:before="300" w:after="160"/>
        <w:rPr/>
      </w:pPr>
      <w:r>
        <w:rPr>
          <w:rFonts w:eastAsia="Times New Roman" w:cs="Times New Roman" w:ascii="Times New Roman" w:hAnsi="Times New Roman"/>
          <w:b/>
          <w:bCs/>
          <w:sz w:val="30"/>
          <w:szCs w:val="30"/>
        </w:rPr>
        <w:t>Appendix: AI Usage</w:t>
      </w:r>
    </w:p>
    <w:p>
      <w:pPr>
        <w:pStyle w:val="Normal"/>
        <w:spacing w:lineRule="exact" w:line="340" w:before="0" w:after="160"/>
        <w:jc w:val="both"/>
        <w:rPr/>
      </w:pPr>
      <w:r>
        <w:rPr>
          <w:rFonts w:eastAsia="Times New Roman" w:cs="Times New Roman" w:ascii="Times New Roman" w:hAnsi="Times New Roman"/>
          <w:b/>
          <w:bCs/>
          <w:kern w:val="0"/>
          <w:sz w:val="24"/>
          <w:szCs w:val="24"/>
          <w:lang w:eastAsia="pl-PL"/>
          <w14:ligatures w14:val="none"/>
        </w:rPr>
        <w:t>I used Claude (Anthropic) to: (1) replicate the Shiny app’s PV calculations in Python to verify the table outputs, (2) check the mathematical identity that the ratio is insensitive to β, and (3) clean the English text. The boredom sessions, WTP valuations, scrolling time estimates, and personal reflections are my own.</w:t>
      </w:r>
    </w:p>
    <w:sectPr>
      <w:headerReference w:type="default" r:id="rId2"/>
      <w:type w:val="nextPage"/>
      <w:pgSz w:w="11906" w:h="16838"/>
      <w:pgMar w:left="1417" w:right="1417" w:gutter="0" w:header="1417" w:top="2200"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340" w:before="0" w:after="160"/>
      <w:jc w:val="both"/>
      <w:rPr/>
    </w:pPr>
    <w:r>
      <w:rPr>
        <w:rFonts w:eastAsia="Times New Roman" w:cs="Times New Roman" w:ascii="Times New Roman" w:hAnsi="Times New Roman"/>
        <w:sz w:val="24"/>
        <w:szCs w:val="24"/>
      </w:rPr>
      <w:tab/>
      <w:tab/>
      <w:tab/>
      <w:tab/>
      <w:tab/>
      <w:tab/>
      <w:tab/>
      <w:tab/>
      <w:tab/>
    </w:r>
    <w:r>
      <w:rPr>
        <w:rFonts w:eastAsia="Times New Roman" w:cs="Times New Roman" w:ascii="Times New Roman" w:hAnsi="Times New Roman"/>
        <w:sz w:val="24"/>
        <w:szCs w:val="24"/>
      </w:rPr>
      <w:t>Ondřej Marvan, 477001</w: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l-P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pl-PL"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pl-PL" w:eastAsia="en-US" w:bidi="ar-SA"/>
      <w14:ligatures w14:val="standardContextual"/>
    </w:rPr>
  </w:style>
  <w:style w:type="paragraph" w:styleId="Heading1">
    <w:name w:val="Heading 1"/>
    <w:basedOn w:val="Normal"/>
    <w:next w:val="Normal"/>
    <w:link w:val="Nagwek1Znak"/>
    <w:uiPriority w:val="9"/>
    <w:qFormat/>
    <w:rsid w:val="009263eb"/>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Nagwek2Znak"/>
    <w:uiPriority w:val="9"/>
    <w:semiHidden/>
    <w:unhideWhenUsed/>
    <w:qFormat/>
    <w:rsid w:val="009263eb"/>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Nagwek3Znak"/>
    <w:uiPriority w:val="9"/>
    <w:semiHidden/>
    <w:unhideWhenUsed/>
    <w:qFormat/>
    <w:rsid w:val="009263eb"/>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Nagwek4Znak"/>
    <w:uiPriority w:val="9"/>
    <w:semiHidden/>
    <w:unhideWhenUsed/>
    <w:qFormat/>
    <w:rsid w:val="009263eb"/>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Nagwek5Znak"/>
    <w:uiPriority w:val="9"/>
    <w:semiHidden/>
    <w:unhideWhenUsed/>
    <w:qFormat/>
    <w:rsid w:val="009263eb"/>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Nagwek6Znak"/>
    <w:uiPriority w:val="9"/>
    <w:semiHidden/>
    <w:unhideWhenUsed/>
    <w:qFormat/>
    <w:rsid w:val="009263eb"/>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Nagwek7Znak"/>
    <w:uiPriority w:val="9"/>
    <w:semiHidden/>
    <w:unhideWhenUsed/>
    <w:qFormat/>
    <w:rsid w:val="009263eb"/>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Nagwek8Znak"/>
    <w:uiPriority w:val="9"/>
    <w:semiHidden/>
    <w:unhideWhenUsed/>
    <w:qFormat/>
    <w:rsid w:val="009263eb"/>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Nagwek9Znak"/>
    <w:uiPriority w:val="9"/>
    <w:semiHidden/>
    <w:unhideWhenUsed/>
    <w:qFormat/>
    <w:rsid w:val="009263eb"/>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Nagwek1Znak" w:customStyle="1">
    <w:name w:val="Nagłówek 1 Znak"/>
    <w:basedOn w:val="DefaultParagraphFont"/>
    <w:link w:val="Heading1"/>
    <w:uiPriority w:val="9"/>
    <w:qFormat/>
    <w:rsid w:val="009263eb"/>
    <w:rPr>
      <w:rFonts w:ascii="Aptos Display" w:hAnsi="Aptos Display" w:eastAsia="" w:cs="" w:asciiTheme="majorHAnsi" w:cstheme="majorBidi" w:eastAsiaTheme="majorEastAsia" w:hAnsiTheme="majorHAnsi"/>
      <w:color w:themeColor="accent1" w:themeShade="bf" w:val="0F4761"/>
      <w:sz w:val="40"/>
      <w:szCs w:val="40"/>
    </w:rPr>
  </w:style>
  <w:style w:type="character" w:styleId="Nagwek2Znak" w:customStyle="1">
    <w:name w:val="Nagłówek 2 Znak"/>
    <w:basedOn w:val="DefaultParagraphFont"/>
    <w:link w:val="Heading2"/>
    <w:uiPriority w:val="9"/>
    <w:semiHidden/>
    <w:qFormat/>
    <w:rsid w:val="009263eb"/>
    <w:rPr>
      <w:rFonts w:ascii="Aptos Display" w:hAnsi="Aptos Display" w:eastAsia="" w:cs="" w:asciiTheme="majorHAnsi" w:cstheme="majorBidi" w:eastAsiaTheme="majorEastAsia" w:hAnsiTheme="majorHAnsi"/>
      <w:color w:themeColor="accent1" w:themeShade="bf" w:val="0F4761"/>
      <w:sz w:val="32"/>
      <w:szCs w:val="32"/>
    </w:rPr>
  </w:style>
  <w:style w:type="character" w:styleId="Nagwek3Znak" w:customStyle="1">
    <w:name w:val="Nagłówek 3 Znak"/>
    <w:basedOn w:val="DefaultParagraphFont"/>
    <w:link w:val="Heading3"/>
    <w:uiPriority w:val="9"/>
    <w:semiHidden/>
    <w:qFormat/>
    <w:rsid w:val="009263eb"/>
    <w:rPr>
      <w:rFonts w:eastAsia="" w:cs="" w:cstheme="majorBidi" w:eastAsiaTheme="majorEastAsia"/>
      <w:color w:themeColor="accent1" w:themeShade="bf" w:val="0F4761"/>
      <w:sz w:val="28"/>
      <w:szCs w:val="28"/>
    </w:rPr>
  </w:style>
  <w:style w:type="character" w:styleId="Nagwek4Znak" w:customStyle="1">
    <w:name w:val="Nagłówek 4 Znak"/>
    <w:basedOn w:val="DefaultParagraphFont"/>
    <w:link w:val="Heading4"/>
    <w:uiPriority w:val="9"/>
    <w:semiHidden/>
    <w:qFormat/>
    <w:rsid w:val="009263eb"/>
    <w:rPr>
      <w:rFonts w:eastAsia="" w:cs="" w:cstheme="majorBidi" w:eastAsiaTheme="majorEastAsia"/>
      <w:i/>
      <w:iCs/>
      <w:color w:themeColor="accent1" w:themeShade="bf" w:val="0F4761"/>
    </w:rPr>
  </w:style>
  <w:style w:type="character" w:styleId="Nagwek5Znak" w:customStyle="1">
    <w:name w:val="Nagłówek 5 Znak"/>
    <w:basedOn w:val="DefaultParagraphFont"/>
    <w:link w:val="Heading5"/>
    <w:uiPriority w:val="9"/>
    <w:semiHidden/>
    <w:qFormat/>
    <w:rsid w:val="009263eb"/>
    <w:rPr>
      <w:rFonts w:eastAsia="" w:cs="" w:cstheme="majorBidi" w:eastAsiaTheme="majorEastAsia"/>
      <w:color w:themeColor="accent1" w:themeShade="bf" w:val="0F4761"/>
    </w:rPr>
  </w:style>
  <w:style w:type="character" w:styleId="Nagwek6Znak" w:customStyle="1">
    <w:name w:val="Nagłówek 6 Znak"/>
    <w:basedOn w:val="DefaultParagraphFont"/>
    <w:link w:val="Heading6"/>
    <w:uiPriority w:val="9"/>
    <w:semiHidden/>
    <w:qFormat/>
    <w:rsid w:val="009263eb"/>
    <w:rPr>
      <w:rFonts w:eastAsia="" w:cs="" w:cstheme="majorBidi" w:eastAsiaTheme="majorEastAsia"/>
      <w:i/>
      <w:iCs/>
      <w:color w:themeColor="text1" w:themeTint="a6" w:val="595959"/>
    </w:rPr>
  </w:style>
  <w:style w:type="character" w:styleId="Nagwek7Znak" w:customStyle="1">
    <w:name w:val="Nagłówek 7 Znak"/>
    <w:basedOn w:val="DefaultParagraphFont"/>
    <w:link w:val="Heading7"/>
    <w:uiPriority w:val="9"/>
    <w:semiHidden/>
    <w:qFormat/>
    <w:rsid w:val="009263eb"/>
    <w:rPr>
      <w:rFonts w:eastAsia="" w:cs="" w:cstheme="majorBidi" w:eastAsiaTheme="majorEastAsia"/>
      <w:color w:themeColor="text1" w:themeTint="a6" w:val="595959"/>
    </w:rPr>
  </w:style>
  <w:style w:type="character" w:styleId="Nagwek8Znak" w:customStyle="1">
    <w:name w:val="Nagłówek 8 Znak"/>
    <w:basedOn w:val="DefaultParagraphFont"/>
    <w:link w:val="Heading8"/>
    <w:uiPriority w:val="9"/>
    <w:semiHidden/>
    <w:qFormat/>
    <w:rsid w:val="009263eb"/>
    <w:rPr>
      <w:rFonts w:eastAsia="" w:cs="" w:cstheme="majorBidi" w:eastAsiaTheme="majorEastAsia"/>
      <w:i/>
      <w:iCs/>
      <w:color w:themeColor="text1" w:themeTint="d8" w:val="272727"/>
    </w:rPr>
  </w:style>
  <w:style w:type="character" w:styleId="Nagwek9Znak" w:customStyle="1">
    <w:name w:val="Nagłówek 9 Znak"/>
    <w:basedOn w:val="DefaultParagraphFont"/>
    <w:link w:val="Heading9"/>
    <w:uiPriority w:val="9"/>
    <w:semiHidden/>
    <w:qFormat/>
    <w:rsid w:val="009263eb"/>
    <w:rPr>
      <w:rFonts w:eastAsia="" w:cs="" w:cstheme="majorBidi" w:eastAsiaTheme="majorEastAsia"/>
      <w:color w:themeColor="text1" w:themeTint="d8" w:val="272727"/>
    </w:rPr>
  </w:style>
  <w:style w:type="character" w:styleId="TytuZnak" w:customStyle="1">
    <w:name w:val="Tytuł Znak"/>
    <w:basedOn w:val="DefaultParagraphFont"/>
    <w:link w:val="Title"/>
    <w:uiPriority w:val="10"/>
    <w:qFormat/>
    <w:rsid w:val="009263eb"/>
    <w:rPr>
      <w:rFonts w:ascii="Aptos Display" w:hAnsi="Aptos Display" w:eastAsia="" w:cs="" w:asciiTheme="majorHAnsi" w:cstheme="majorBidi" w:eastAsiaTheme="majorEastAsia" w:hAnsiTheme="majorHAnsi"/>
      <w:spacing w:val="-10"/>
      <w:kern w:val="2"/>
      <w:sz w:val="56"/>
      <w:szCs w:val="56"/>
    </w:rPr>
  </w:style>
  <w:style w:type="character" w:styleId="PodtytuZnak" w:customStyle="1">
    <w:name w:val="Podtytuł Znak"/>
    <w:basedOn w:val="DefaultParagraphFont"/>
    <w:link w:val="Subtitle"/>
    <w:uiPriority w:val="11"/>
    <w:qFormat/>
    <w:rsid w:val="009263eb"/>
    <w:rPr>
      <w:rFonts w:eastAsia="" w:cs="" w:cstheme="majorBidi" w:eastAsiaTheme="majorEastAsia"/>
      <w:color w:themeColor="text1" w:themeTint="a6" w:val="595959"/>
      <w:spacing w:val="15"/>
      <w:sz w:val="28"/>
      <w:szCs w:val="28"/>
    </w:rPr>
  </w:style>
  <w:style w:type="character" w:styleId="CytatZnak" w:customStyle="1">
    <w:name w:val="Cytat Znak"/>
    <w:basedOn w:val="DefaultParagraphFont"/>
    <w:link w:val="Quote"/>
    <w:uiPriority w:val="29"/>
    <w:qFormat/>
    <w:rsid w:val="009263eb"/>
    <w:rPr>
      <w:i/>
      <w:iCs/>
      <w:color w:themeColor="text1" w:themeTint="bf" w:val="404040"/>
    </w:rPr>
  </w:style>
  <w:style w:type="character" w:styleId="IntenseEmphasis">
    <w:name w:val="Intense Emphasis"/>
    <w:basedOn w:val="DefaultParagraphFont"/>
    <w:uiPriority w:val="21"/>
    <w:qFormat/>
    <w:rsid w:val="009263eb"/>
    <w:rPr>
      <w:i/>
      <w:iCs/>
      <w:color w:themeColor="accent1" w:themeShade="bf" w:val="0F4761"/>
    </w:rPr>
  </w:style>
  <w:style w:type="character" w:styleId="CytatintensywnyZnak" w:customStyle="1">
    <w:name w:val="Cytat intensywny Znak"/>
    <w:basedOn w:val="DefaultParagraphFont"/>
    <w:link w:val="IntenseQuote"/>
    <w:uiPriority w:val="30"/>
    <w:qFormat/>
    <w:rsid w:val="009263eb"/>
    <w:rPr>
      <w:i/>
      <w:iCs/>
      <w:color w:themeColor="accent1" w:themeShade="bf" w:val="0F4761"/>
    </w:rPr>
  </w:style>
  <w:style w:type="character" w:styleId="IntenseReference">
    <w:name w:val="Intense Reference"/>
    <w:basedOn w:val="DefaultParagraphFont"/>
    <w:uiPriority w:val="32"/>
    <w:qFormat/>
    <w:rsid w:val="009263eb"/>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ytuZnak"/>
    <w:uiPriority w:val="10"/>
    <w:qFormat/>
    <w:rsid w:val="009263e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PodtytuZnak"/>
    <w:uiPriority w:val="11"/>
    <w:qFormat/>
    <w:rsid w:val="009263eb"/>
    <w:pPr/>
    <w:rPr>
      <w:rFonts w:eastAsia="" w:cs="" w:cstheme="majorBidi" w:eastAsiaTheme="majorEastAsia"/>
      <w:color w:themeColor="text1" w:themeTint="a6" w:val="595959"/>
      <w:spacing w:val="15"/>
      <w:sz w:val="28"/>
      <w:szCs w:val="28"/>
    </w:rPr>
  </w:style>
  <w:style w:type="paragraph" w:styleId="Quote">
    <w:name w:val="Quote"/>
    <w:basedOn w:val="Normal"/>
    <w:next w:val="Normal"/>
    <w:link w:val="CytatZnak"/>
    <w:uiPriority w:val="29"/>
    <w:qFormat/>
    <w:rsid w:val="009263eb"/>
    <w:pPr>
      <w:spacing w:before="160" w:after="160"/>
      <w:jc w:val="center"/>
    </w:pPr>
    <w:rPr>
      <w:i/>
      <w:iCs/>
      <w:color w:themeColor="text1" w:themeTint="bf" w:val="404040"/>
    </w:rPr>
  </w:style>
  <w:style w:type="paragraph" w:styleId="ListParagraph">
    <w:name w:val="List Paragraph"/>
    <w:basedOn w:val="Normal"/>
    <w:uiPriority w:val="34"/>
    <w:qFormat/>
    <w:rsid w:val="009263eb"/>
    <w:pPr>
      <w:spacing w:before="0" w:after="160"/>
      <w:ind w:left="720"/>
      <w:contextualSpacing/>
    </w:pPr>
    <w:rPr/>
  </w:style>
  <w:style w:type="paragraph" w:styleId="IntenseQuote">
    <w:name w:val="Intense Quote"/>
    <w:basedOn w:val="Normal"/>
    <w:next w:val="Normal"/>
    <w:link w:val="CytatintensywnyZnak"/>
    <w:uiPriority w:val="30"/>
    <w:qFormat/>
    <w:rsid w:val="009263eb"/>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suppressLineNumbers/>
      <w:tabs>
        <w:tab w:val="clear" w:pos="708"/>
        <w:tab w:val="center" w:pos="4536" w:leader="none"/>
        <w:tab w:val="right" w:pos="9072" w:leader="none"/>
      </w:tabs>
    </w:pPr>
    <w:rPr/>
  </w:style>
  <w:style w:type="paragraph" w:styleId="Header">
    <w:name w:val="Header"/>
    <w:basedOn w:val="HeaderandFooter"/>
    <w:pPr>
      <w:suppressLineNumbers/>
    </w:pPr>
    <w:rPr/>
  </w:style>
  <w:style w:type="numbering" w:styleId="NoList" w:default="1">
    <w:name w:val="No List"/>
    <w:uiPriority w:val="99"/>
    <w:semiHidden/>
    <w:unhideWhenUsed/>
    <w:qFormat/>
  </w:style>
  <w:style w:type="table" w:default="1" w:styleId="Standardowy">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Motyw pakietu Office">
  <a:themeElements>
    <a:clrScheme name="Pakiet 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5</Pages>
  <Words>1771</Words>
  <Characters>8704</Characters>
  <CharactersWithSpaces>10474</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2026-01-31T08:47:00Z</dcterms:created>
  <dc:creator>Tomasz Kopczewski</dc:creator>
  <dc:description/>
  <dc:language>en-US</dc:language>
  <cp:lastModifiedBy/>
  <dcterms:modified xsi:type="dcterms:W3CDTF">2026-02-08T21:26:29Z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