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ascii="Times New Roman" w:hAnsi="Times New Roman"/>
          <w:b/>
          <w:bCs/>
          <w:sz w:val="34"/>
          <w:szCs w:val="34"/>
        </w:rPr>
        <w:t>Task 4: Entropy Lab</w:t>
      </w:r>
    </w:p>
    <w:p>
      <w:pPr>
        <w:pStyle w:val="Normal"/>
        <w:spacing w:before="0" w:after="500"/>
        <w:jc w:val="center"/>
        <w:rPr/>
      </w:pPr>
      <w:r>
        <w:rPr>
          <w:rFonts w:eastAsia="Times New Roman" w:cs="Times New Roman" w:ascii="Times New Roman" w:hAnsi="Times New Roman"/>
          <w:i/>
          <w:iCs/>
          <w:sz w:val="28"/>
          <w:szCs w:val="28"/>
        </w:rPr>
        <w:t>From a Table to a Markov Chain to a “Demon”</w:t>
      </w:r>
    </w:p>
    <w:p>
      <w:pPr>
        <w:pStyle w:val="Heading1"/>
        <w:spacing w:before="320" w:after="180"/>
        <w:rPr/>
      </w:pPr>
      <w:r>
        <w:rPr>
          <w:rFonts w:eastAsia="Times New Roman" w:cs="Times New Roman" w:ascii="Times New Roman" w:hAnsi="Times New Roman"/>
          <w:b/>
          <w:bCs/>
          <w:sz w:val="30"/>
          <w:szCs w:val="30"/>
        </w:rPr>
        <w:t>Part 0: Confronting the “Rational Agent”</w:t>
      </w:r>
    </w:p>
    <w:p>
      <w:pPr>
        <w:pStyle w:val="Normal"/>
        <w:spacing w:lineRule="exact" w:line="340" w:before="0" w:after="180"/>
        <w:jc w:val="both"/>
        <w:rPr/>
      </w:pPr>
      <w:r>
        <w:rPr>
          <w:rFonts w:eastAsia="Times New Roman" w:cs="Times New Roman" w:ascii="Times New Roman" w:hAnsi="Times New Roman"/>
          <w:sz w:val="24"/>
          <w:szCs w:val="24"/>
        </w:rPr>
        <w:t xml:space="preserve">In the pre-exam Uncertainty Lab (40 rounds, multiplicative world), I finished with approximately $163 – a 63% return on the starting capital of $100. My behavior shifted across four distinct phases, and this shift is itself the most interesting data point for stress-testing EUT. Under classical EUT, my risk parameter should be constant. It was not. In the early rounds (1–12), I was </w:t>
      </w:r>
      <w:r>
        <w:rPr>
          <w:rFonts w:eastAsia="Times New Roman" w:cs="Times New Roman" w:ascii="Times New Roman" w:hAnsi="Times New Roman"/>
          <w:b/>
          <w:bCs/>
          <w:sz w:val="24"/>
          <w:szCs w:val="24"/>
        </w:rPr>
        <w:t>aggressive</w:t>
      </w:r>
      <w:r>
        <w:rPr>
          <w:rFonts w:eastAsia="Times New Roman" w:cs="Times New Roman" w:ascii="Times New Roman" w:hAnsi="Times New Roman"/>
          <w:sz w:val="24"/>
          <w:szCs w:val="24"/>
        </w:rPr>
        <w:t xml:space="preserve">: chasing Booms in Markets A and M, buying forecasts every round because at $0.50 they were cheap relative to potential +5% gains. By round 12 my capital was around $122. In the middle phase (13–25), I shifted to </w:t>
      </w:r>
      <w:r>
        <w:rPr>
          <w:rFonts w:eastAsia="Times New Roman" w:cs="Times New Roman" w:ascii="Times New Roman" w:hAnsi="Times New Roman"/>
          <w:b/>
          <w:bCs/>
          <w:sz w:val="24"/>
          <w:szCs w:val="24"/>
        </w:rPr>
        <w:t>balanced</w:t>
      </w:r>
      <w:r>
        <w:rPr>
          <w:rFonts w:eastAsia="Times New Roman" w:cs="Times New Roman" w:ascii="Times New Roman" w:hAnsi="Times New Roman"/>
          <w:sz w:val="24"/>
          <w:szCs w:val="24"/>
        </w:rPr>
        <w:t xml:space="preserve">: I noticed Market L’s persistence and parked there, benefiting from consecutive +1% and +5% hits. By round 25 I had ~$148. In the endgame (33–40), I switched to </w:t>
      </w:r>
      <w:r>
        <w:rPr>
          <w:rFonts w:eastAsia="Times New Roman" w:cs="Times New Roman" w:ascii="Times New Roman" w:hAnsi="Times New Roman"/>
          <w:b/>
          <w:bCs/>
          <w:sz w:val="24"/>
          <w:szCs w:val="24"/>
        </w:rPr>
        <w:t>defensive</w:t>
      </w:r>
      <w:r>
        <w:rPr>
          <w:rFonts w:eastAsia="Times New Roman" w:cs="Times New Roman" w:ascii="Times New Roman" w:hAnsi="Times New Roman"/>
          <w:sz w:val="24"/>
          <w:szCs w:val="24"/>
        </w:rPr>
        <w:t>: capital preservation mode, paying for expensive forecasts ($0.80+) specifically to dodge the -4% traps. EUT would assign me a single curvature – my actual behavior was a dynamic strategy that changed with wealth level.</w:t>
      </w:r>
    </w:p>
    <w:p>
      <w:pPr>
        <w:pStyle w:val="Normal"/>
        <w:spacing w:lineRule="exact" w:line="340" w:before="0" w:after="180"/>
        <w:jc w:val="both"/>
        <w:rPr/>
      </w:pPr>
      <w:r>
        <w:rPr>
          <w:rFonts w:eastAsia="Times New Roman" w:cs="Times New Roman" w:ascii="Times New Roman" w:hAnsi="Times New Roman"/>
          <w:sz w:val="24"/>
          <w:szCs w:val="24"/>
        </w:rPr>
        <w:t xml:space="preserve">Two departures from the “rational calculator” stood out. First, </w:t>
      </w:r>
      <w:r>
        <w:rPr>
          <w:rFonts w:eastAsia="Times New Roman" w:cs="Times New Roman" w:ascii="Times New Roman" w:hAnsi="Times New Roman"/>
          <w:b/>
          <w:bCs/>
          <w:sz w:val="24"/>
          <w:szCs w:val="24"/>
        </w:rPr>
        <w:t>probability weighting</w:t>
      </w:r>
      <w:r>
        <w:rPr>
          <w:rFonts w:eastAsia="Times New Roman" w:cs="Times New Roman" w:ascii="Times New Roman" w:hAnsi="Times New Roman"/>
          <w:sz w:val="24"/>
          <w:szCs w:val="24"/>
        </w:rPr>
        <w:t xml:space="preserve">: by the late game, a 4% loss on $169 was only $6.76, yet it felt catastrophic – I was willing to pay $0.85 per forecast just to avoid it, even when the expected cost of the loss (probability × magnitude) may not have justified the expense. I overweighted the small probability of a recession hit, consistent with Kahneman–Tversky. Second, I used a clear </w:t>
      </w:r>
      <w:r>
        <w:rPr>
          <w:rFonts w:eastAsia="Times New Roman" w:cs="Times New Roman" w:ascii="Times New Roman" w:hAnsi="Times New Roman"/>
          <w:b/>
          <w:bCs/>
          <w:sz w:val="24"/>
          <w:szCs w:val="24"/>
        </w:rPr>
        <w:t>minimax heuristic</w:t>
      </w:r>
      <w:r>
        <w:rPr>
          <w:rFonts w:eastAsia="Times New Roman" w:cs="Times New Roman" w:ascii="Times New Roman" w:hAnsi="Times New Roman"/>
          <w:sz w:val="24"/>
          <w:szCs w:val="24"/>
        </w:rPr>
        <w:t xml:space="preserve"> in the endgame: from round 33 onward, I was not maximizing expected value but minimizing the worst-case drawdown. My capital barely moved ($166 → $163), which is exactly what minimax produces – safety at the expense of upside.</w:t>
      </w:r>
    </w:p>
    <w:p>
      <w:pPr>
        <w:pStyle w:val="Normal"/>
        <w:spacing w:lineRule="exact" w:line="340" w:before="0" w:after="180"/>
        <w:jc w:val="both"/>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Prospect Theory reflection effect</w:t>
      </w:r>
      <w:r>
        <w:rPr>
          <w:rFonts w:eastAsia="Times New Roman" w:cs="Times New Roman" w:ascii="Times New Roman" w:hAnsi="Times New Roman"/>
          <w:sz w:val="24"/>
          <w:szCs w:val="24"/>
        </w:rPr>
        <w:t xml:space="preserve"> is visible in my data: in the growth phase (rounds 1–25) I was risk-seeking (chasing Booms), but once I had accumulated gains, I became sharply risk-averse (capital preservation). The reference point shifted with my wealth. The </w:t>
      </w:r>
      <w:r>
        <w:rPr>
          <w:rFonts w:eastAsia="Times New Roman" w:cs="Times New Roman" w:ascii="Times New Roman" w:hAnsi="Times New Roman"/>
          <w:b/>
          <w:bCs/>
          <w:sz w:val="24"/>
          <w:szCs w:val="24"/>
        </w:rPr>
        <w:t>ergodicity</w:t>
      </w:r>
      <w:r>
        <w:rPr>
          <w:rFonts w:eastAsia="Times New Roman" w:cs="Times New Roman" w:ascii="Times New Roman" w:hAnsi="Times New Roman"/>
          <w:sz w:val="24"/>
          <w:szCs w:val="24"/>
        </w:rPr>
        <w:t xml:space="preserve"> lens explains the endgame even better: in a multiplicative world, a single -4% hit on $169 permanently shrinks the base for all future compounding. My defensive switch was not “irrational loss aversion” – it was rational time-average thinking. A 4% loss followed by a 5% gain does not return you to where you started (0.96 × 1.05 = 1.008, not 1.01). I was protecting the compounding engine, which is exactly what Ole Peters’ ergodicity economics predicts. The “human as calculator” captures the general direction but misses the dynamic, wealth-dependent strategy. The entropy framework reframes it: not “how curved is your utility?” but “how much uncertainty can you afford at this capital level?”</w:t>
      </w:r>
    </w:p>
    <w:p>
      <w:pPr>
        <w:pStyle w:val="Heading1"/>
        <w:spacing w:before="320" w:after="180"/>
        <w:rPr/>
      </w:pPr>
      <w:r>
        <w:rPr>
          <w:rFonts w:eastAsia="Times New Roman" w:cs="Times New Roman" w:ascii="Times New Roman" w:hAnsi="Times New Roman"/>
          <w:b/>
          <w:bCs/>
          <w:sz w:val="30"/>
          <w:szCs w:val="30"/>
        </w:rPr>
        <w:t>Part 1: Entropy as a Table</w:t>
      </w:r>
    </w:p>
    <w:p>
      <w:pPr>
        <w:pStyle w:val="Normal"/>
        <w:spacing w:lineRule="exact" w:line="340" w:before="0" w:after="180"/>
        <w:jc w:val="both"/>
        <w:rPr/>
      </w:pPr>
      <w:r>
        <w:rPr>
          <w:rFonts w:eastAsia="Times New Roman" w:cs="Times New Roman" w:ascii="Times New Roman" w:hAnsi="Times New Roman"/>
          <w:b/>
          <w:bCs/>
          <w:sz w:val="24"/>
          <w:szCs w:val="24"/>
        </w:rPr>
        <w:t>Grid size and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Changing d from 4 to 8 to 16 yields 16, 64, or 256 states.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sz w:val="24"/>
          <w:szCs w:val="24"/>
        </w:rPr>
        <w:t xml:space="preserve"> = log</w:t>
      </w:r>
      <w:r>
        <w:rPr>
          <w:rFonts w:eastAsia="Times New Roman" w:cs="Times New Roman" w:ascii="Times New Roman" w:hAnsi="Times New Roman"/>
          <w:sz w:val="24"/>
          <w:szCs w:val="24"/>
          <w:vertAlign w:val="subscript"/>
        </w:rPr>
        <w:t>2</w:t>
      </w:r>
      <w:r>
        <w:rPr>
          <w:rFonts w:eastAsia="Times New Roman" w:cs="Times New Roman" w:ascii="Times New Roman" w:hAnsi="Times New Roman"/>
          <w:sz w:val="24"/>
          <w:szCs w:val="24"/>
        </w:rPr>
        <w:t>(d²) = 4.0, 6.0, 8.0 bits respectively. Crucially,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sz w:val="24"/>
          <w:szCs w:val="24"/>
        </w:rPr>
        <w:t xml:space="preserve"> is a property of the grid resolution, not of the data – entropy comparisons only make sense at the same d.</w:t>
      </w:r>
    </w:p>
    <w:p>
      <w:pPr>
        <w:pStyle w:val="Normal"/>
        <w:spacing w:lineRule="exact" w:line="340" w:before="0" w:after="180"/>
        <w:jc w:val="both"/>
        <w:rPr/>
      </w:pPr>
      <w:r>
        <w:rPr>
          <w:rFonts w:eastAsia="Times New Roman" w:cs="Times New Roman" w:ascii="Times New Roman" w:hAnsi="Times New Roman"/>
          <w:b/>
          <w:bCs/>
          <w:sz w:val="24"/>
          <w:szCs w:val="24"/>
        </w:rPr>
        <w:t xml:space="preserve">High entropy. </w:t>
      </w:r>
      <w:r>
        <w:rPr>
          <w:rFonts w:eastAsia="Times New Roman" w:cs="Times New Roman" w:ascii="Times New Roman" w:hAnsi="Times New Roman"/>
          <w:sz w:val="24"/>
          <w:szCs w:val="24"/>
        </w:rPr>
        <w:t>With d = 8, ρ = 0, α = β = 1.0, elasticity = 1 (true Uniform marginals), all 64 cells received roughly equal mass. H ≈ 5.99 bits, nearly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sz w:val="24"/>
          <w:szCs w:val="24"/>
        </w:rPr>
        <w:t xml:space="preserve"> = 6.0 bits, IG ≈ 0.01 – essentially no structure. Important subtlety: raising the elasticity to 10 (same α = β = 1) produces Beta(10,10), a bell curve, and entropy drops sharply to about 3.8 bits with only ~32 cells filled. Concentration and correlation are independent forces that both reduce entropy.</w:t>
      </w:r>
    </w:p>
    <w:p>
      <w:pPr>
        <w:pStyle w:val="Normal"/>
        <w:spacing w:lineRule="exact" w:line="340" w:before="0" w:after="180"/>
        <w:jc w:val="both"/>
        <w:rPr/>
      </w:pPr>
      <w:r>
        <w:rPr>
          <w:rFonts w:eastAsia="Times New Roman" w:cs="Times New Roman" w:ascii="Times New Roman" w:hAnsi="Times New Roman"/>
          <w:b/>
          <w:bCs/>
          <w:sz w:val="24"/>
          <w:szCs w:val="24"/>
        </w:rPr>
        <w:t xml:space="preserve">Low entropy. </w:t>
      </w:r>
      <w:r>
        <w:rPr>
          <w:rFonts w:eastAsia="Times New Roman" w:cs="Times New Roman" w:ascii="Times New Roman" w:hAnsi="Times New Roman"/>
          <w:sz w:val="24"/>
          <w:szCs w:val="24"/>
        </w:rPr>
        <w:t>Setting ρ = 0.85, elasticity = 50 concentrates mass into a tight diagonal band. Only ~10 of 64 cells have meaningful probability. H ≈ 1.95 bits, IG ≈ 4.05 – knowing this distribution eliminates two-thirds of maximum uncertainty.</w:t>
      </w:r>
    </w:p>
    <w:p>
      <w:pPr>
        <w:pStyle w:val="Normal"/>
        <w:spacing w:lineRule="exact" w:line="340" w:before="0" w:after="180"/>
        <w:jc w:val="both"/>
        <w:rPr/>
      </w:pPr>
      <w:r>
        <w:rPr>
          <w:rFonts w:eastAsia="Times New Roman" w:cs="Times New Roman" w:ascii="Times New Roman" w:hAnsi="Times New Roman"/>
          <w:b/>
          <w:bCs/>
          <w:sz w:val="24"/>
          <w:szCs w:val="24"/>
        </w:rPr>
        <w:t xml:space="preserve">One number interpreted. </w:t>
      </w:r>
      <w:r>
        <w:rPr>
          <w:rFonts w:eastAsia="Times New Roman" w:cs="Times New Roman" w:ascii="Times New Roman" w:hAnsi="Times New Roman"/>
          <w:sz w:val="24"/>
          <w:szCs w:val="24"/>
        </w:rPr>
        <w:t>Moderate setting (d = 8, ρ = 0.3, elast = 5): H ≈ 4.62 bits, IG = 1.38 bits. This 1.38 bits of structure means knowing the distribution (vs. assuming uniformity) saves about 23% of maximum possible uncertainty. About 47/64 cells were non-empty, but mass was clearly uneven along the center-diagonal.</w:t>
      </w:r>
    </w:p>
    <w:p>
      <w:pPr>
        <w:pStyle w:val="Normal"/>
        <w:spacing w:lineRule="exact" w:line="340" w:before="0" w:after="180"/>
        <w:jc w:val="both"/>
        <w:rPr/>
      </w:pPr>
      <w:r>
        <w:rPr>
          <w:rFonts w:eastAsia="Times New Roman" w:cs="Times New Roman" w:ascii="Times New Roman" w:hAnsi="Times New Roman"/>
          <w:b/>
          <w:bCs/>
          <w:sz w:val="24"/>
          <w:szCs w:val="24"/>
        </w:rPr>
        <w:t xml:space="preserve">Critique. </w:t>
      </w:r>
      <w:r>
        <w:rPr>
          <w:rFonts w:eastAsia="Times New Roman" w:cs="Times New Roman" w:ascii="Times New Roman" w:hAnsi="Times New Roman"/>
          <w:sz w:val="24"/>
          <w:szCs w:val="24"/>
        </w:rPr>
        <w:t>The grid makes entropy visible and tactile – you literally see disorder vs. structure. But the grid boundaries are arbitrary,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sz w:val="24"/>
          <w:szCs w:val="24"/>
        </w:rPr>
        <w:t xml:space="preserve"> is an analyst’s choice, and within-cell variation is discarded. In real economic settings, the appropriate resolution is rarely obvious.</w:t>
      </w:r>
    </w:p>
    <w:p>
      <w:pPr>
        <w:pStyle w:val="Heading1"/>
        <w:spacing w:before="320" w:after="180"/>
        <w:rPr/>
      </w:pPr>
      <w:r>
        <w:rPr>
          <w:rFonts w:eastAsia="Times New Roman" w:cs="Times New Roman" w:ascii="Times New Roman" w:hAnsi="Times New Roman"/>
          <w:b/>
          <w:bCs/>
          <w:sz w:val="30"/>
          <w:szCs w:val="30"/>
        </w:rPr>
        <w:t>Part 2: From the Grid to Time (Markov Chains)</w:t>
      </w:r>
    </w:p>
    <w:p>
      <w:pPr>
        <w:pStyle w:val="Normal"/>
        <w:spacing w:lineRule="exact" w:line="340" w:before="0" w:after="180"/>
        <w:jc w:val="both"/>
        <w:rPr/>
      </w:pPr>
      <w:r>
        <w:rPr>
          <w:rFonts w:eastAsia="Times New Roman" w:cs="Times New Roman" w:ascii="Times New Roman" w:hAnsi="Times New Roman"/>
          <w:b/>
          <w:bCs/>
          <w:sz w:val="24"/>
          <w:szCs w:val="24"/>
        </w:rPr>
        <w:t xml:space="preserve">Memory across matrices. </w:t>
      </w:r>
      <w:r>
        <w:rPr>
          <w:rFonts w:eastAsia="Times New Roman" w:cs="Times New Roman" w:ascii="Times New Roman" w:hAnsi="Times New Roman"/>
          <w:sz w:val="24"/>
          <w:szCs w:val="24"/>
        </w:rPr>
        <w:t>Market H (1/3 everywhere): no memory, H(S</w:t>
      </w:r>
      <w:r>
        <w:rPr>
          <w:rFonts w:eastAsia="Times New Roman" w:cs="Times New Roman" w:ascii="Times New Roman" w:hAnsi="Times New Roman"/>
          <w:sz w:val="24"/>
          <w:szCs w:val="24"/>
          <w:vertAlign w:val="subscript"/>
        </w:rPr>
        <w:t>t+1</w:t>
      </w:r>
      <w:r>
        <w:rPr>
          <w:rFonts w:eastAsia="Times New Roman" w:cs="Times New Roman" w:ascii="Times New Roman" w:hAnsi="Times New Roman"/>
          <w:sz w:val="24"/>
          <w:szCs w:val="24"/>
        </w:rPr>
        <w:t>|S</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 = 1.585 bits = H</w:t>
      </w:r>
      <w:r>
        <w:rPr>
          <w:rFonts w:eastAsia="Times New Roman" w:cs="Times New Roman" w:ascii="Times New Roman" w:hAnsi="Times New Roman"/>
          <w:sz w:val="24"/>
          <w:szCs w:val="24"/>
          <w:vertAlign w:val="superscript"/>
        </w:rPr>
        <w:t>max</w:t>
      </w:r>
      <w:r>
        <w:rPr>
          <w:rFonts w:eastAsia="Times New Roman" w:cs="Times New Roman" w:ascii="Times New Roman" w:hAnsi="Times New Roman"/>
          <w:sz w:val="24"/>
          <w:szCs w:val="24"/>
        </w:rPr>
        <w:t>, I = 0. Market M (diagonal 0.6): weak stickiness, H = 1.371, I = 0.214 bits. Market L (diagonal 0.9): strong memory, H = 0.569, I = 1.016 bits – knowing today gives you over 1 bit about tomorrow out of a maximum 1.585. Market A (diagonal 0.05): structured repulsion – the system leaves its current state, but where it goes is a coin flip. H = 1.236, I = 0.349 – actually more informative than M, because “not here” is a useful signal. The random matrix varies each run but typically falls between M and L.</w:t>
      </w:r>
    </w:p>
    <w:p>
      <w:pPr>
        <w:pStyle w:val="Normal"/>
        <w:spacing w:lineRule="exact" w:line="340" w:before="0" w:after="180"/>
        <w:jc w:val="both"/>
        <w:rPr/>
      </w:pPr>
      <w:r>
        <w:rPr>
          <w:rFonts w:eastAsia="Times New Roman" w:cs="Times New Roman" w:ascii="Times New Roman" w:hAnsi="Times New Roman"/>
          <w:b/>
          <w:bCs/>
          <w:sz w:val="24"/>
          <w:szCs w:val="24"/>
        </w:rPr>
        <w:t xml:space="preserve">Entropy measures in plain language. </w:t>
      </w:r>
      <w:r>
        <w:rPr>
          <w:rFonts w:eastAsia="Times New Roman" w:cs="Times New Roman" w:ascii="Times New Roman" w:hAnsi="Times New Roman"/>
          <w:sz w:val="24"/>
          <w:szCs w:val="24"/>
        </w:rPr>
        <w:t>H(S</w:t>
      </w:r>
      <w:r>
        <w:rPr>
          <w:rFonts w:eastAsia="Times New Roman" w:cs="Times New Roman" w:ascii="Times New Roman" w:hAnsi="Times New Roman"/>
          <w:sz w:val="24"/>
          <w:szCs w:val="24"/>
          <w:vertAlign w:val="subscript"/>
        </w:rPr>
        <w:t>t+1</w:t>
      </w:r>
      <w:r>
        <w:rPr>
          <w:rFonts w:eastAsia="Times New Roman" w:cs="Times New Roman" w:ascii="Times New Roman" w:hAnsi="Times New Roman"/>
          <w:sz w:val="24"/>
          <w:szCs w:val="24"/>
        </w:rPr>
        <w:t>|S</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 “How uncertain am I about tomorrow if I know today?” Low = present guides future. I(S</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;S</w:t>
      </w:r>
      <w:r>
        <w:rPr>
          <w:rFonts w:eastAsia="Times New Roman" w:cs="Times New Roman" w:ascii="Times New Roman" w:hAnsi="Times New Roman"/>
          <w:sz w:val="24"/>
          <w:szCs w:val="24"/>
          <w:vertAlign w:val="subscript"/>
        </w:rPr>
        <w:t>t+1</w:t>
      </w:r>
      <w:r>
        <w:rPr>
          <w:rFonts w:eastAsia="Times New Roman" w:cs="Times New Roman" w:ascii="Times New Roman" w:hAnsi="Times New Roman"/>
          <w:sz w:val="24"/>
          <w:szCs w:val="24"/>
        </w:rPr>
        <w:t>): “How many bits of predictability do I gain from knowing today?” This is exactly what the demon pays for in Part 3.</w:t>
      </w:r>
    </w:p>
    <w:p>
      <w:pPr>
        <w:pStyle w:val="Normal"/>
        <w:spacing w:lineRule="exact" w:line="340" w:before="0" w:after="180"/>
        <w:jc w:val="both"/>
        <w:rPr/>
      </w:pPr>
      <w:r>
        <w:rPr>
          <w:rFonts w:eastAsia="Times New Roman" w:cs="Times New Roman" w:ascii="Times New Roman" w:hAnsi="Times New Roman"/>
          <w:b/>
          <w:bCs/>
          <w:sz w:val="24"/>
          <w:szCs w:val="24"/>
        </w:rPr>
        <w:t xml:space="preserve">Single path vs. cloud. </w:t>
      </w:r>
      <w:r>
        <w:rPr>
          <w:rFonts w:eastAsia="Times New Roman" w:cs="Times New Roman" w:ascii="Times New Roman" w:hAnsi="Times New Roman"/>
          <w:sz w:val="24"/>
          <w:szCs w:val="24"/>
        </w:rPr>
        <w:t>A single Market H path can accidentally look sticky; a single Market L path can show a fluke switch. The cloud of 150 paths reveals the structural truth: H converges to 1/3 per state instantly (no memory), L stays dominated by the start state for many periods (strong memory). Individual paths conflate process with realization; the ensemble reveals the process.</w:t>
      </w:r>
    </w:p>
    <w:p>
      <w:pPr>
        <w:pStyle w:val="Normal"/>
        <w:spacing w:lineRule="exact" w:line="340" w:before="0" w:after="180"/>
        <w:jc w:val="both"/>
        <w:rPr/>
      </w:pPr>
      <w:r>
        <w:rPr>
          <w:rFonts w:eastAsia="Times New Roman" w:cs="Times New Roman" w:ascii="Times New Roman" w:hAnsi="Times New Roman"/>
          <w:b/>
          <w:bCs/>
          <w:sz w:val="24"/>
          <w:szCs w:val="24"/>
        </w:rPr>
        <w:t xml:space="preserve">Critique of Markov. </w:t>
      </w:r>
      <w:r>
        <w:rPr>
          <w:rFonts w:eastAsia="Times New Roman" w:cs="Times New Roman" w:ascii="Times New Roman" w:hAnsi="Times New Roman"/>
          <w:sz w:val="24"/>
          <w:szCs w:val="24"/>
        </w:rPr>
        <w:t>“Tomorrow depends only on today” ignores momentum, fatigue, and learning. The simplest fix: expand the state to (S</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 S</w:t>
      </w:r>
      <w:r>
        <w:rPr>
          <w:rFonts w:eastAsia="Times New Roman" w:cs="Times New Roman" w:ascii="Times New Roman" w:hAnsi="Times New Roman"/>
          <w:sz w:val="24"/>
          <w:szCs w:val="24"/>
          <w:vertAlign w:val="subscript"/>
        </w:rPr>
        <w:t>t–1</w:t>
      </w:r>
      <w:r>
        <w:rPr>
          <w:rFonts w:eastAsia="Times New Roman" w:cs="Times New Roman" w:ascii="Times New Roman" w:hAnsi="Times New Roman"/>
          <w:sz w:val="24"/>
          <w:szCs w:val="24"/>
        </w:rPr>
        <w:t>), a second-order chain – 3 states become 9, but the Markov property is preserved by embedding history into the state. ARMA and GARCH models do exactly this.</w:t>
      </w:r>
    </w:p>
    <w:p>
      <w:pPr>
        <w:pStyle w:val="Heading1"/>
        <w:spacing w:before="320" w:after="180"/>
        <w:rPr/>
      </w:pPr>
      <w:r>
        <w:rPr>
          <w:rFonts w:eastAsia="Times New Roman" w:cs="Times New Roman" w:ascii="Times New Roman" w:hAnsi="Times New Roman"/>
          <w:b/>
          <w:bCs/>
          <w:sz w:val="30"/>
          <w:szCs w:val="30"/>
        </w:rPr>
        <w:t>Part 3: The “Demon” Simulation</w:t>
      </w:r>
    </w:p>
    <w:p>
      <w:pPr>
        <w:pStyle w:val="Normal"/>
        <w:spacing w:lineRule="exact" w:line="340" w:before="0" w:after="180"/>
        <w:jc w:val="both"/>
        <w:rPr/>
      </w:pPr>
      <w:r>
        <w:rPr>
          <w:rFonts w:eastAsia="Times New Roman" w:cs="Times New Roman" w:ascii="Times New Roman" w:hAnsi="Times New Roman"/>
          <w:b/>
          <w:bCs/>
          <w:sz w:val="24"/>
          <w:szCs w:val="24"/>
        </w:rPr>
        <w:t xml:space="preserve">What the demon does. </w:t>
      </w:r>
      <w:r>
        <w:rPr>
          <w:rFonts w:eastAsia="Times New Roman" w:cs="Times New Roman" w:ascii="Times New Roman" w:hAnsi="Times New Roman"/>
          <w:sz w:val="24"/>
          <w:szCs w:val="24"/>
        </w:rPr>
        <w:t>Each round, it purchases the transition-matrix row for each market’s current state, computes expected payoffs, and picks the best market. It pays 2 × 0.5 = 1.0 points per round (additive) or 2 × 0.5% of capital (multiplicative). The bet: informational gain exceeds the cost.</w:t>
      </w:r>
    </w:p>
    <w:p>
      <w:pPr>
        <w:pStyle w:val="Normal"/>
        <w:spacing w:lineRule="exact" w:line="340" w:before="0" w:after="180"/>
        <w:jc w:val="both"/>
        <w:rPr/>
      </w:pPr>
      <w:r>
        <w:rPr>
          <w:rFonts w:eastAsia="Times New Roman" w:cs="Times New Roman" w:ascii="Times New Roman" w:hAnsi="Times New Roman"/>
          <w:b/>
          <w:bCs/>
          <w:sz w:val="24"/>
          <w:szCs w:val="24"/>
        </w:rPr>
        <w:t xml:space="preserve">When information helps. </w:t>
      </w:r>
      <w:r>
        <w:rPr>
          <w:rFonts w:eastAsia="Times New Roman" w:cs="Times New Roman" w:ascii="Times New Roman" w:hAnsi="Times New Roman"/>
          <w:sz w:val="24"/>
          <w:szCs w:val="24"/>
        </w:rPr>
        <w:t>Massively. Over 500 simulations (50 rounds, no shock): the demon’s mean additive wealth reached ~1,200 vs ~340 for the random agent – a 3.5× advantage. Bankruptcy rates: 22% (demon) vs 56% (random). In the multiplicative world, the gap is extreme due to compounding: demon median ~120,000 vs random median ~36. The advantage comes from exploiting Market L: when L is in Boom, the demon knows with 90% confidence it stays there.</w:t>
      </w:r>
    </w:p>
    <w:p>
      <w:pPr>
        <w:pStyle w:val="Normal"/>
        <w:spacing w:lineRule="exact" w:line="340" w:before="0" w:after="180"/>
        <w:jc w:val="both"/>
        <w:rPr/>
      </w:pPr>
      <w:r>
        <w:rPr>
          <w:rFonts w:eastAsia="Times New Roman" w:cs="Times New Roman" w:ascii="Times New Roman" w:hAnsi="Times New Roman"/>
          <w:b/>
          <w:bCs/>
          <w:sz w:val="24"/>
          <w:szCs w:val="24"/>
        </w:rPr>
        <w:t xml:space="preserve">When information is wasted. </w:t>
      </w:r>
      <w:r>
        <w:rPr>
          <w:rFonts w:eastAsia="Times New Roman" w:cs="Times New Roman" w:ascii="Times New Roman" w:hAnsi="Times New Roman"/>
          <w:sz w:val="24"/>
          <w:szCs w:val="24"/>
        </w:rPr>
        <w:t>For Market H, the forecast is literally (1/3, 1/3, 1/3) – zero mutual information, pure cost. But even when I quadrupled the cost (2 pts / 2%), the demon still outperformed the random agent because Market L’s predictability is so valuable that it survives heavy cost deductions. Under the “viscosity collapse” shock (L becomes chaotic at round 25), the demon’s post-shock advantage shrinks, but pre-shock wealth provides a buffer: mean ~1,020 vs ~360.</w:t>
      </w:r>
    </w:p>
    <w:p>
      <w:pPr>
        <w:pStyle w:val="Normal"/>
        <w:spacing w:lineRule="exact" w:line="340" w:before="0" w:after="180"/>
        <w:jc w:val="both"/>
        <w:rPr/>
      </w:pPr>
      <w:r>
        <w:rPr>
          <w:rFonts w:eastAsia="Times New Roman" w:cs="Times New Roman" w:ascii="Times New Roman" w:hAnsi="Times New Roman"/>
          <w:b/>
          <w:bCs/>
          <w:sz w:val="24"/>
          <w:szCs w:val="24"/>
        </w:rPr>
        <w:t xml:space="preserve">Critique. </w:t>
      </w:r>
      <w:r>
        <w:rPr>
          <w:rFonts w:eastAsia="Times New Roman" w:cs="Times New Roman" w:ascii="Times New Roman" w:hAnsi="Times New Roman"/>
          <w:sz w:val="24"/>
          <w:szCs w:val="24"/>
        </w:rPr>
        <w:t xml:space="preserve">The demon is smarter than a human because it reads the true matrix instantly, with no estimation error or cognitive fatigue. It is dumber than a human because it cannot detect regime changes – it has no meta-learning. Does the framing add substance beyond EUT? Yes: it separates the </w:t>
      </w:r>
      <w:r>
        <w:rPr>
          <w:rFonts w:eastAsia="Times New Roman" w:cs="Times New Roman" w:ascii="Times New Roman" w:hAnsi="Times New Roman"/>
          <w:i/>
          <w:iCs/>
          <w:sz w:val="24"/>
          <w:szCs w:val="24"/>
        </w:rPr>
        <w:t>value of information</w:t>
      </w:r>
      <w:r>
        <w:rPr>
          <w:rFonts w:eastAsia="Times New Roman" w:cs="Times New Roman" w:ascii="Times New Roman" w:hAnsi="Times New Roman"/>
          <w:sz w:val="24"/>
          <w:szCs w:val="24"/>
        </w:rPr>
        <w:t xml:space="preserve"> from the </w:t>
      </w:r>
      <w:r>
        <w:rPr>
          <w:rFonts w:eastAsia="Times New Roman" w:cs="Times New Roman" w:ascii="Times New Roman" w:hAnsi="Times New Roman"/>
          <w:i/>
          <w:iCs/>
          <w:sz w:val="24"/>
          <w:szCs w:val="24"/>
        </w:rPr>
        <w:t>value of the outcome</w:t>
      </w:r>
      <w:r>
        <w:rPr>
          <w:rFonts w:eastAsia="Times New Roman" w:cs="Times New Roman" w:ascii="Times New Roman" w:hAnsi="Times New Roman"/>
          <w:sz w:val="24"/>
          <w:szCs w:val="24"/>
        </w:rPr>
        <w:t>, making the cost of knowledge explicit and tying it to entropy. But it understates real information costs (attention, effort, time) by reducing them to a point deduction.</w:t>
      </w:r>
    </w:p>
    <w:p>
      <w:pPr>
        <w:pStyle w:val="Heading1"/>
        <w:spacing w:before="320" w:after="180"/>
        <w:rPr/>
      </w:pPr>
      <w:r>
        <w:rPr>
          <w:rFonts w:eastAsia="Times New Roman" w:cs="Times New Roman" w:ascii="Times New Roman" w:hAnsi="Times New Roman"/>
          <w:b/>
          <w:bCs/>
          <w:sz w:val="30"/>
          <w:szCs w:val="30"/>
        </w:rPr>
        <w:t>Part 4: Closing the Loop</w:t>
      </w:r>
    </w:p>
    <w:p>
      <w:pPr>
        <w:pStyle w:val="Normal"/>
        <w:spacing w:lineRule="exact" w:line="340" w:before="0" w:after="180"/>
        <w:jc w:val="both"/>
        <w:rPr/>
      </w:pPr>
      <w:r>
        <w:rPr>
          <w:rFonts w:eastAsia="Times New Roman" w:cs="Times New Roman" w:ascii="Times New Roman" w:hAnsi="Times New Roman"/>
          <w:b/>
          <w:bCs/>
          <w:sz w:val="24"/>
          <w:szCs w:val="24"/>
        </w:rPr>
        <w:t xml:space="preserve">Where I was entropy-minimizing. </w:t>
      </w:r>
      <w:r>
        <w:rPr>
          <w:rFonts w:eastAsia="Times New Roman" w:cs="Times New Roman" w:ascii="Times New Roman" w:hAnsi="Times New Roman"/>
          <w:sz w:val="24"/>
          <w:szCs w:val="24"/>
        </w:rPr>
        <w:t>My transition to Market L in rounds 13–25 was a textbook entropy-minimizing move. Market L’s high viscosity (diagonal 0.9) means H(S</w:t>
      </w:r>
      <w:r>
        <w:rPr>
          <w:rFonts w:eastAsia="Times New Roman" w:cs="Times New Roman" w:ascii="Times New Roman" w:hAnsi="Times New Roman"/>
          <w:sz w:val="24"/>
          <w:szCs w:val="24"/>
          <w:vertAlign w:val="subscript"/>
        </w:rPr>
        <w:t>t+1</w:t>
      </w:r>
      <w:r>
        <w:rPr>
          <w:rFonts w:eastAsia="Times New Roman" w:cs="Times New Roman" w:ascii="Times New Roman" w:hAnsi="Times New Roman"/>
          <w:sz w:val="24"/>
          <w:szCs w:val="24"/>
        </w:rPr>
        <w:t>|S</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 = 0.569 bits – the most predictable market. I noticed the persistence pattern empirically: L stayed in Boom or Stability for long runs, and I parked there to ride the compounding. My capital grew from ~$122 to ~$148 in this phase. I also avoided Market H entirely from round 26 onward, which is rational: H has I = 0, so any forecast cost is pure waste. My total forecast spend (~$24 over 40 rounds) was concentrated on markets where mutual information was positive – exactly the demon’s logic.</w:t>
      </w:r>
    </w:p>
    <w:p>
      <w:pPr>
        <w:pStyle w:val="Normal"/>
        <w:spacing w:lineRule="exact" w:line="340" w:before="0" w:after="180"/>
        <w:jc w:val="both"/>
        <w:rPr/>
      </w:pPr>
      <w:r>
        <w:rPr>
          <w:rFonts w:eastAsia="Times New Roman" w:cs="Times New Roman" w:ascii="Times New Roman" w:hAnsi="Times New Roman"/>
          <w:b/>
          <w:bCs/>
          <w:sz w:val="24"/>
          <w:szCs w:val="24"/>
        </w:rPr>
        <w:t xml:space="preserve">Where I was not. </w:t>
      </w:r>
      <w:r>
        <w:rPr>
          <w:rFonts w:eastAsia="Times New Roman" w:cs="Times New Roman" w:ascii="Times New Roman" w:hAnsi="Times New Roman"/>
          <w:sz w:val="24"/>
          <w:szCs w:val="24"/>
        </w:rPr>
        <w:t xml:space="preserve">Round 37 stands out: a -4% recession hit in Market A dropped my capital from $169.83 to $157.03. I had chosen Market A because I thought its “alternating” pattern meant I could time a Boom. But A’s anti-viscous structure (H = 1.236 bits) means you know the system will leave the current state, but not </w:t>
      </w:r>
      <w:r>
        <w:rPr>
          <w:rFonts w:eastAsia="Times New Roman" w:cs="Times New Roman" w:ascii="Times New Roman" w:hAnsi="Times New Roman"/>
          <w:i/>
          <w:iCs/>
          <w:sz w:val="24"/>
          <w:szCs w:val="24"/>
        </w:rPr>
        <w:t>which</w:t>
      </w:r>
      <w:r>
        <w:rPr>
          <w:rFonts w:eastAsia="Times New Roman" w:cs="Times New Roman" w:ascii="Times New Roman" w:hAnsi="Times New Roman"/>
          <w:sz w:val="24"/>
          <w:szCs w:val="24"/>
        </w:rPr>
        <w:t xml:space="preserve"> of the other two states it goes to – a coin flip. I was overconfident in my ability to read A’s pattern, which is a failure of entropy-minimizing logic: I chose a market with higher conditional entropy when L was available. My endgame defensive phase (rounds 33–40) was also not entropy-minimizing in the strict sense – it was loss-aversion-minimizing, prioritizing drawdown protection over expected value.</w:t>
      </w:r>
    </w:p>
    <w:p>
      <w:pPr>
        <w:pStyle w:val="Normal"/>
        <w:spacing w:lineRule="exact" w:line="340" w:before="0" w:after="180"/>
        <w:jc w:val="both"/>
        <w:rPr/>
      </w:pPr>
      <w:r>
        <w:rPr>
          <w:rFonts w:eastAsia="Times New Roman" w:cs="Times New Roman" w:ascii="Times New Roman" w:hAnsi="Times New Roman"/>
          <w:b/>
          <w:bCs/>
          <w:sz w:val="24"/>
          <w:szCs w:val="24"/>
        </w:rPr>
        <w:t xml:space="preserve">Random or informed? </w:t>
      </w:r>
      <w:r>
        <w:rPr>
          <w:rFonts w:eastAsia="Times New Roman" w:cs="Times New Roman" w:ascii="Times New Roman" w:hAnsi="Times New Roman"/>
          <w:sz w:val="24"/>
          <w:szCs w:val="24"/>
        </w:rPr>
        <w:t>Closer to informed, but with a clear learning curve. Rounds 1–12 were exploratory: I tried multiple markets, bought information indiscriminately, and behaved close to random. Rounds 13–32 were demon-like: I identified the low-entropy market, exploited persistence, and grew capital systematically. The post-round-37 panic was a regression toward random. My overall trajectory – explore, converge, exploit, then stumble when the pattern breaks – mirrors the demon’s strength and weakness. The demon has no exploration phase (it reads the matrix from round 1), but it also has no adaptation when the rules change. I am slower to converge but potentially faster to notice regime shifts – though in practice I was slow on both counts.</w:t>
      </w:r>
    </w:p>
    <w:p>
      <w:pPr>
        <w:pStyle w:val="Normal"/>
        <w:spacing w:lineRule="exact" w:line="340" w:before="0" w:after="180"/>
        <w:jc w:val="both"/>
        <w:rPr/>
      </w:pPr>
      <w:r>
        <w:rPr>
          <w:rFonts w:eastAsia="Times New Roman" w:cs="Times New Roman" w:ascii="Times New Roman" w:hAnsi="Times New Roman"/>
          <w:b/>
          <w:bCs/>
          <w:sz w:val="24"/>
          <w:szCs w:val="24"/>
        </w:rPr>
        <w:t xml:space="preserve">Are humans Maxwell demons? Yes: </w:t>
      </w:r>
      <w:r>
        <w:rPr>
          <w:rFonts w:eastAsia="Times New Roman" w:cs="Times New Roman" w:ascii="Times New Roman" w:hAnsi="Times New Roman"/>
          <w:sz w:val="24"/>
          <w:szCs w:val="24"/>
        </w:rPr>
        <w:t xml:space="preserve">we constantly invest energy to acquire information that reduces uncertainty – weather forecasts, education, financial analysis. The entire structure of knowledge institutions is entropy reduction for a price. </w:t>
      </w:r>
      <w:r>
        <w:rPr>
          <w:rFonts w:eastAsia="Times New Roman" w:cs="Times New Roman" w:ascii="Times New Roman" w:hAnsi="Times New Roman"/>
          <w:b/>
          <w:bCs/>
          <w:sz w:val="24"/>
          <w:szCs w:val="24"/>
        </w:rPr>
        <w:t xml:space="preserve">No: </w:t>
      </w:r>
      <w:r>
        <w:rPr>
          <w:rFonts w:eastAsia="Times New Roman" w:cs="Times New Roman" w:ascii="Times New Roman" w:hAnsi="Times New Roman"/>
          <w:sz w:val="24"/>
          <w:szCs w:val="24"/>
        </w:rPr>
        <w:t xml:space="preserve">we overweight small probabilities, are loss-averse, suffer attention capture, and our processing degrades with fatigue. The demon’s cost is exogenous and constant; ours is endogenous, variable, and often invisible. </w:t>
      </w:r>
      <w:r>
        <w:rPr>
          <w:rFonts w:eastAsia="Times New Roman" w:cs="Times New Roman" w:ascii="Times New Roman" w:hAnsi="Times New Roman"/>
          <w:b/>
          <w:bCs/>
          <w:sz w:val="24"/>
          <w:szCs w:val="24"/>
        </w:rPr>
        <w:t xml:space="preserve">My position: </w:t>
      </w:r>
      <w:r>
        <w:rPr>
          <w:rFonts w:eastAsia="Times New Roman" w:cs="Times New Roman" w:ascii="Times New Roman" w:hAnsi="Times New Roman"/>
          <w:sz w:val="24"/>
          <w:szCs w:val="24"/>
        </w:rPr>
        <w:t xml:space="preserve">we are </w:t>
      </w:r>
      <w:r>
        <w:rPr>
          <w:rFonts w:eastAsia="Times New Roman" w:cs="Times New Roman" w:ascii="Times New Roman" w:hAnsi="Times New Roman"/>
          <w:i/>
          <w:iCs/>
          <w:sz w:val="24"/>
          <w:szCs w:val="24"/>
        </w:rPr>
        <w:t>aspiring</w:t>
      </w:r>
      <w:r>
        <w:rPr>
          <w:rFonts w:eastAsia="Times New Roman" w:cs="Times New Roman" w:ascii="Times New Roman" w:hAnsi="Times New Roman"/>
          <w:sz w:val="24"/>
          <w:szCs w:val="24"/>
        </w:rPr>
        <w:t xml:space="preserve"> demons with limited channel capacity (Maćkowiak et al.), exploitable boredom signals (Wojtowicz et al.), and an attention economy designed to distort our efforts (Loewenstein &amp; Wojtowicz). The gap between the ideal demon and the actual human is the entire subject of behavioral economics.</w:t>
      </w:r>
    </w:p>
    <w:p>
      <w:pPr>
        <w:pStyle w:val="Heading1"/>
        <w:spacing w:before="320" w:after="180"/>
        <w:rPr/>
      </w:pPr>
      <w:r>
        <w:rPr>
          <w:rFonts w:eastAsia="Times New Roman" w:cs="Times New Roman" w:ascii="Times New Roman" w:hAnsi="Times New Roman"/>
          <w:b/>
          <w:bCs/>
          <w:sz w:val="30"/>
          <w:szCs w:val="30"/>
        </w:rPr>
        <w:t>Did Entropy Become Intuitive?</w:t>
      </w:r>
    </w:p>
    <w:p>
      <w:pPr>
        <w:pStyle w:val="Normal"/>
        <w:spacing w:lineRule="exact" w:line="340" w:before="0" w:after="180"/>
        <w:jc w:val="both"/>
        <w:rPr/>
      </w:pPr>
      <w:r>
        <w:rPr>
          <w:rFonts w:eastAsia="Times New Roman" w:cs="Times New Roman" w:ascii="Times New Roman" w:hAnsi="Times New Roman"/>
          <w:sz w:val="24"/>
          <w:szCs w:val="24"/>
        </w:rPr>
        <w:t>The grid made entropy visible (flat vs. concentrated heatmap). The Markov chains made it temporal (“how much does today tell me about tomorrow?”). The demon made it economic (when is paying for information worth it?). The framework breaks down where reality gets interesting: regime changes, endogenous information costs, attention hijacking. But that is exactly where the metaphor is most useful – it helps articulate what went wrong. Entropy stopped being empty words and became a lens for understanding daily attention allocation.</w:t>
      </w:r>
      <w:r>
        <w:br w:type="page"/>
      </w:r>
    </w:p>
    <w:p>
      <w:pPr>
        <w:pStyle w:val="Normal"/>
        <w:spacing w:before="0" w:after="160"/>
        <w:rPr/>
      </w:pPr>
      <w:r>
        <w:rPr/>
        <w:br/>
      </w:r>
    </w:p>
    <w:p>
      <w:pPr>
        <w:pStyle w:val="Heading1"/>
        <w:spacing w:before="320" w:after="180"/>
        <w:rPr/>
      </w:pPr>
      <w:r>
        <w:rPr>
          <w:rFonts w:eastAsia="Times New Roman" w:cs="Times New Roman" w:ascii="Times New Roman" w:hAnsi="Times New Roman"/>
          <w:b/>
          <w:bCs/>
          <w:sz w:val="30"/>
          <w:szCs w:val="30"/>
        </w:rPr>
        <w:t>Appendix: How I Used AI</w:t>
      </w:r>
    </w:p>
    <w:p>
      <w:pPr>
        <w:pStyle w:val="Normal"/>
        <w:spacing w:lineRule="exact" w:line="340" w:before="0" w:after="180"/>
        <w:jc w:val="both"/>
        <w:rPr/>
      </w:pPr>
      <w:r>
        <w:rPr>
          <w:rFonts w:eastAsia="Times New Roman" w:cs="Times New Roman" w:ascii="Times New Roman" w:hAnsi="Times New Roman"/>
          <w:b/>
          <w:bCs/>
          <w:sz w:val="24"/>
          <w:szCs w:val="24"/>
        </w:rPr>
        <w:t>I used Claude (Anthropic) after completing the lab to: (1) cross-check entropy and mutual information values against the simulation code, (2) verify the demon simulation outputs, and (3) clean the text for grammar. The analysis and reflections are my own.</w:t>
      </w:r>
    </w:p>
    <w:sectPr>
      <w:headerReference w:type="default" r:id="rId2"/>
      <w:type w:val="nextPage"/>
      <w:pgSz w:w="11906" w:h="16838"/>
      <w:pgMar w:left="1417" w:right="1417" w:gutter="0" w:header="1417" w:top="2220"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40" w:before="0" w:after="180"/>
      <w:jc w:val="both"/>
      <w:rPr/>
    </w:pPr>
    <w:r>
      <w:rPr>
        <w:rFonts w:eastAsia="Times New Roman" w:cs="Times New Roman" w:ascii="Times New Roman" w:hAnsi="Times New Roman"/>
        <w:color w:val="auto"/>
        <w:kern w:val="2"/>
        <w:sz w:val="24"/>
        <w:szCs w:val="24"/>
        <w:lang w:val="pl-PL" w:eastAsia="en-US" w:bidi="ar-SA"/>
        <w14:ligatures w14:val="standardContextual"/>
      </w:rPr>
      <w:tab/>
      <w:tab/>
      <w:tab/>
      <w:tab/>
      <w:tab/>
      <w:tab/>
      <w:tab/>
      <w:tab/>
      <w:tab/>
      <w:t>Ondřej Marvan, 477001</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2a2d1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gwek2Znak"/>
    <w:uiPriority w:val="9"/>
    <w:semiHidden/>
    <w:unhideWhenUsed/>
    <w:qFormat/>
    <w:rsid w:val="002a2d1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2a2d1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2a2d1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2a2d1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2a2d1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2a2d1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2a2d1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2a2d1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link w:val="Heading1"/>
    <w:uiPriority w:val="9"/>
    <w:qFormat/>
    <w:rsid w:val="002a2d14"/>
    <w:rPr>
      <w:rFonts w:ascii="Aptos Display" w:hAnsi="Aptos Display" w:eastAsia="" w:cs="" w:asciiTheme="majorHAnsi" w:cstheme="majorBidi" w:eastAsiaTheme="majorEastAsia" w:hAnsiTheme="majorHAnsi"/>
      <w:color w:themeColor="accent1" w:themeShade="bf" w:val="0F4761"/>
      <w:sz w:val="40"/>
      <w:szCs w:val="40"/>
    </w:rPr>
  </w:style>
  <w:style w:type="character" w:styleId="Nagwek2Znak" w:customStyle="1">
    <w:name w:val="Nagłówek 2 Znak"/>
    <w:basedOn w:val="DefaultParagraphFont"/>
    <w:link w:val="Heading2"/>
    <w:uiPriority w:val="9"/>
    <w:semiHidden/>
    <w:qFormat/>
    <w:rsid w:val="002a2d14"/>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link w:val="Heading3"/>
    <w:uiPriority w:val="9"/>
    <w:semiHidden/>
    <w:qFormat/>
    <w:rsid w:val="002a2d14"/>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link w:val="Heading4"/>
    <w:uiPriority w:val="9"/>
    <w:semiHidden/>
    <w:qFormat/>
    <w:rsid w:val="002a2d14"/>
    <w:rPr>
      <w:rFonts w:eastAsia="" w:cs="" w:cstheme="majorBidi" w:eastAsiaTheme="majorEastAsia"/>
      <w:i/>
      <w:iCs/>
      <w:color w:themeColor="accent1" w:themeShade="bf" w:val="0F4761"/>
    </w:rPr>
  </w:style>
  <w:style w:type="character" w:styleId="Nagwek5Znak" w:customStyle="1">
    <w:name w:val="Nagłówek 5 Znak"/>
    <w:basedOn w:val="DefaultParagraphFont"/>
    <w:link w:val="Heading5"/>
    <w:uiPriority w:val="9"/>
    <w:semiHidden/>
    <w:qFormat/>
    <w:rsid w:val="002a2d14"/>
    <w:rPr>
      <w:rFonts w:eastAsia="" w:cs="" w:cstheme="majorBidi" w:eastAsiaTheme="majorEastAsia"/>
      <w:color w:themeColor="accent1" w:themeShade="bf" w:val="0F4761"/>
    </w:rPr>
  </w:style>
  <w:style w:type="character" w:styleId="Nagwek6Znak" w:customStyle="1">
    <w:name w:val="Nagłówek 6 Znak"/>
    <w:basedOn w:val="DefaultParagraphFont"/>
    <w:link w:val="Heading6"/>
    <w:uiPriority w:val="9"/>
    <w:semiHidden/>
    <w:qFormat/>
    <w:rsid w:val="002a2d14"/>
    <w:rPr>
      <w:rFonts w:eastAsia="" w:cs="" w:cstheme="majorBidi" w:eastAsiaTheme="majorEastAsia"/>
      <w:i/>
      <w:iCs/>
      <w:color w:themeColor="text1" w:themeTint="a6" w:val="595959"/>
    </w:rPr>
  </w:style>
  <w:style w:type="character" w:styleId="Nagwek7Znak" w:customStyle="1">
    <w:name w:val="Nagłówek 7 Znak"/>
    <w:basedOn w:val="DefaultParagraphFont"/>
    <w:link w:val="Heading7"/>
    <w:uiPriority w:val="9"/>
    <w:semiHidden/>
    <w:qFormat/>
    <w:rsid w:val="002a2d14"/>
    <w:rPr>
      <w:rFonts w:eastAsia="" w:cs="" w:cstheme="majorBidi" w:eastAsiaTheme="majorEastAsia"/>
      <w:color w:themeColor="text1" w:themeTint="a6" w:val="595959"/>
    </w:rPr>
  </w:style>
  <w:style w:type="character" w:styleId="Nagwek8Znak" w:customStyle="1">
    <w:name w:val="Nagłówek 8 Znak"/>
    <w:basedOn w:val="DefaultParagraphFont"/>
    <w:link w:val="Heading8"/>
    <w:uiPriority w:val="9"/>
    <w:semiHidden/>
    <w:qFormat/>
    <w:rsid w:val="002a2d14"/>
    <w:rPr>
      <w:rFonts w:eastAsia="" w:cs="" w:cstheme="majorBidi" w:eastAsiaTheme="majorEastAsia"/>
      <w:i/>
      <w:iCs/>
      <w:color w:themeColor="text1" w:themeTint="d8" w:val="272727"/>
    </w:rPr>
  </w:style>
  <w:style w:type="character" w:styleId="Nagwek9Znak" w:customStyle="1">
    <w:name w:val="Nagłówek 9 Znak"/>
    <w:basedOn w:val="DefaultParagraphFont"/>
    <w:link w:val="Heading9"/>
    <w:uiPriority w:val="9"/>
    <w:semiHidden/>
    <w:qFormat/>
    <w:rsid w:val="002a2d14"/>
    <w:rPr>
      <w:rFonts w:eastAsia="" w:cs="" w:cstheme="majorBidi" w:eastAsiaTheme="majorEastAsia"/>
      <w:color w:themeColor="text1" w:themeTint="d8" w:val="272727"/>
    </w:rPr>
  </w:style>
  <w:style w:type="character" w:styleId="TytuZnak" w:customStyle="1">
    <w:name w:val="Tytuł Znak"/>
    <w:basedOn w:val="DefaultParagraphFont"/>
    <w:link w:val="Title"/>
    <w:uiPriority w:val="10"/>
    <w:qFormat/>
    <w:rsid w:val="002a2d14"/>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2a2d14"/>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2a2d14"/>
    <w:rPr>
      <w:i/>
      <w:iCs/>
      <w:color w:themeColor="text1" w:themeTint="bf" w:val="404040"/>
    </w:rPr>
  </w:style>
  <w:style w:type="character" w:styleId="IntenseEmphasis">
    <w:name w:val="Intense Emphasis"/>
    <w:basedOn w:val="DefaultParagraphFont"/>
    <w:uiPriority w:val="21"/>
    <w:qFormat/>
    <w:rsid w:val="002a2d14"/>
    <w:rPr>
      <w:i/>
      <w:iCs/>
      <w:color w:themeColor="accent1" w:themeShade="bf" w:val="0F4761"/>
    </w:rPr>
  </w:style>
  <w:style w:type="character" w:styleId="CytatintensywnyZnak" w:customStyle="1">
    <w:name w:val="Cytat intensywny Znak"/>
    <w:basedOn w:val="DefaultParagraphFont"/>
    <w:link w:val="IntenseQuote"/>
    <w:uiPriority w:val="30"/>
    <w:qFormat/>
    <w:rsid w:val="002a2d14"/>
    <w:rPr>
      <w:i/>
      <w:iCs/>
      <w:color w:themeColor="accent1" w:themeShade="bf" w:val="0F4761"/>
    </w:rPr>
  </w:style>
  <w:style w:type="character" w:styleId="IntenseReference">
    <w:name w:val="Intense Reference"/>
    <w:basedOn w:val="DefaultParagraphFont"/>
    <w:uiPriority w:val="32"/>
    <w:qFormat/>
    <w:rsid w:val="002a2d1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ytuZnak"/>
    <w:uiPriority w:val="10"/>
    <w:qFormat/>
    <w:rsid w:val="002a2d1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2a2d14"/>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2a2d14"/>
    <w:pPr>
      <w:spacing w:before="160" w:after="160"/>
      <w:jc w:val="center"/>
    </w:pPr>
    <w:rPr>
      <w:i/>
      <w:iCs/>
      <w:color w:themeColor="text1" w:themeTint="bf" w:val="404040"/>
    </w:rPr>
  </w:style>
  <w:style w:type="paragraph" w:styleId="ListParagraph">
    <w:name w:val="List Paragraph"/>
    <w:basedOn w:val="Normal"/>
    <w:uiPriority w:val="34"/>
    <w:qFormat/>
    <w:rsid w:val="002a2d14"/>
    <w:pPr>
      <w:spacing w:before="0" w:after="160"/>
      <w:ind w:left="720"/>
      <w:contextualSpacing/>
    </w:pPr>
    <w:rPr/>
  </w:style>
  <w:style w:type="paragraph" w:styleId="IntenseQuote">
    <w:name w:val="Intense Quote"/>
    <w:basedOn w:val="Normal"/>
    <w:next w:val="Normal"/>
    <w:link w:val="CytatintensywnyZnak"/>
    <w:uiPriority w:val="30"/>
    <w:qFormat/>
    <w:rsid w:val="002a2d1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LibreOffice/24.2.7.2$Linux_X86_64 LibreOffice_project/420$Build-2</Application>
  <AppVersion>15.0000</AppVersion>
  <Pages>6</Pages>
  <Words>1888</Words>
  <Characters>9635</Characters>
  <CharactersWithSpaces>11514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2026-01-31T10:53:00Z</dcterms:created>
  <dc:creator>Tomasz Kopczewski</dc:creator>
  <dc:description/>
  <dc:language>en-US</dc:language>
  <cp:lastModifiedBy/>
  <dcterms:modified xsi:type="dcterms:W3CDTF">2026-02-08T20:31:59Z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