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541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541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541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Gemini,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541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280" w:after="80"/>
      </w:pPr>
      <w:r>
        <w:rPr>
          <w:rFonts w:ascii="Calibri" w:hAnsi="Calibri"/>
          <w:b/>
          <w:color w:val="2563EB"/>
          <w:sz w:val="26"/>
        </w:rPr>
        <w:t>6.7 Institucionální Kvantitativní Model a Head of Risk Rozhodovací Matice</w:t>
      </w:r>
    </w:p>
    <w:p>
      <w:pPr>
        <w:spacing w:before="0" w:after="120" w:line="276" w:lineRule="auto"/>
      </w:pPr>
      <w:r>
        <w:rPr>
          <w:rFonts w:ascii="Calibri" w:hAnsi="Calibri"/>
          <w:color w:val="1E293B"/>
          <w:sz w:val="21"/>
        </w:rPr>
        <w:t>Vrcholnou vrstvou systému SuggestInvest je role Senior Quantitative Equity Analyst &amp; Head of Portfolio Risk. Jeho posláním není popisovat minulý vývoj kurzu, ale identifikovat asymetrické tržní příležitosti a rizika v horizontu 1 až 3 měsíců na základě nesouladu mezi tržní cenou, posunem konsenzu a časem do klíčových událostí.</w:t>
      </w:r>
    </w:p>
    <w:p>
      <w:pPr>
        <w:spacing w:before="0" w:after="120" w:line="276" w:lineRule="auto"/>
      </w:pPr>
      <w:r>
        <w:rPr>
          <w:rFonts w:ascii="Calibri" w:hAnsi="Calibri"/>
          <w:color w:val="1E293B"/>
          <w:sz w:val="21"/>
        </w:rPr>
        <w:t>A. Pravidla konsenzu, valuace a revizí:</w:t>
      </w:r>
    </w:p>
    <w:p>
      <w:pPr>
        <w:pStyle w:val="ListBullet"/>
        <w:spacing w:before="0" w:after="60" w:line="276" w:lineRule="auto"/>
      </w:pPr>
      <w:r>
        <w:rPr>
          <w:rFonts w:ascii="Calibri" w:hAnsi="Calibri"/>
          <w:b/>
          <w:color w:val="1E293B"/>
          <w:sz w:val="21"/>
        </w:rPr>
        <w:t>Fundamentální diskont (&gt; +20 %):</w:t>
      </w:r>
      <w:r>
        <w:rPr>
          <w:rFonts w:ascii="Calibri" w:hAnsi="Calibri"/>
          <w:color w:val="1E293B"/>
          <w:sz w:val="21"/>
        </w:rPr>
        <w:t xml:space="preserve"> Pokud je počet analytiků ≥ 5 a 30denní posun cílové ceny ≥ 0 %, jde o silný růstový signál (BUY / STRONG BUY). Pokud cena klesá (1M &lt; 0), ale cíl roste (Δ target 30d &gt; 0), vzniká pozitivní divergence a institucionální akumulace.</w:t>
      </w:r>
    </w:p>
    <w:p>
      <w:pPr>
        <w:pStyle w:val="ListBullet"/>
        <w:spacing w:before="0" w:after="60" w:line="276" w:lineRule="auto"/>
      </w:pPr>
      <w:r>
        <w:rPr>
          <w:rFonts w:ascii="Calibri" w:hAnsi="Calibri"/>
          <w:b/>
          <w:color w:val="1E293B"/>
          <w:sz w:val="21"/>
        </w:rPr>
        <w:t>Přepálená valuace (Tržní cena nad cílem):</w:t>
      </w:r>
      <w:r>
        <w:rPr>
          <w:rFonts w:ascii="Calibri" w:hAnsi="Calibri"/>
          <w:color w:val="1E293B"/>
          <w:sz w:val="21"/>
        </w:rPr>
        <w:t xml:space="preserve"> Pokud je Target Upside ≤ 0 %, růstový potenciál je vyčerpán. Vstupuje v platnost absolutní zákaz doporučení STRONG BUY či BUY $</w:t>
        <w:br/>
        <w:t>ightarrow$ striktně HOLD nebo SELL.</w:t>
      </w:r>
    </w:p>
    <w:p>
      <w:pPr>
        <w:spacing w:before="0" w:after="120" w:line="276" w:lineRule="auto"/>
      </w:pPr>
      <w:r>
        <w:rPr>
          <w:rFonts w:ascii="Calibri" w:hAnsi="Calibri"/>
          <w:color w:val="1E293B"/>
          <w:sz w:val="21"/>
        </w:rPr>
        <w:t>B. Událostní filtry kalendáře a limity konfidence:</w:t>
      </w:r>
    </w:p>
    <w:p>
      <w:pPr>
        <w:pStyle w:val="ListBullet"/>
        <w:spacing w:before="0" w:after="60" w:line="276" w:lineRule="auto"/>
      </w:pPr>
      <w:r>
        <w:rPr>
          <w:rFonts w:ascii="Calibri" w:hAnsi="Calibri"/>
          <w:b/>
          <w:color w:val="1E293B"/>
          <w:sz w:val="21"/>
        </w:rPr>
        <w:t>Kritické okno před výsledky (≤ 7 dní):</w:t>
      </w:r>
      <w:r>
        <w:rPr>
          <w:rFonts w:ascii="Calibri" w:hAnsi="Calibri"/>
          <w:color w:val="1E293B"/>
          <w:sz w:val="21"/>
        </w:rPr>
        <w:t xml:space="preserve"> Implikovaná volatilita roste a událost přináší binární riziko. Konfidence nesmí překročit 65 % (s výjimkou defenzivních monopolů). Automatický štítek: ⏳ Výsledky do 7 dní.</w:t>
      </w:r>
    </w:p>
    <w:p>
      <w:pPr>
        <w:pStyle w:val="ListBullet"/>
        <w:spacing w:before="0" w:after="60" w:line="276" w:lineRule="auto"/>
      </w:pPr>
      <w:r>
        <w:rPr>
          <w:rFonts w:ascii="Calibri" w:hAnsi="Calibri"/>
          <w:b/>
          <w:color w:val="1E293B"/>
          <w:sz w:val="21"/>
        </w:rPr>
        <w:t>Předvýsledkový run-up (8 až 21 dní):</w:t>
      </w:r>
      <w:r>
        <w:rPr>
          <w:rFonts w:ascii="Calibri" w:hAnsi="Calibri"/>
          <w:color w:val="1E293B"/>
          <w:sz w:val="21"/>
        </w:rPr>
        <w:t xml:space="preserve"> Pokud je 1M momentum kladné a cílová cena roste, aktivum se nachází v akumulační fázi před kvartální zprávou. Štítek: 📅 Výsledky do 21 dní.</w:t>
      </w:r>
    </w:p>
    <w:p>
      <w:pPr>
        <w:pStyle w:val="ListBullet"/>
        <w:spacing w:before="0" w:after="60" w:line="276" w:lineRule="auto"/>
      </w:pPr>
      <w:r>
        <w:rPr>
          <w:rFonts w:ascii="Calibri" w:hAnsi="Calibri"/>
          <w:b/>
          <w:color w:val="1E293B"/>
          <w:sz w:val="21"/>
        </w:rPr>
        <w:t>Dividendový trigger (≤ 14 dní):</w:t>
      </w:r>
      <w:r>
        <w:rPr>
          <w:rFonts w:ascii="Calibri" w:hAnsi="Calibri"/>
          <w:color w:val="1E293B"/>
          <w:sz w:val="21"/>
        </w:rPr>
        <w:t xml:space="preserve"> Pozice je vhodná pro akumulaci před rozhodným dnem pro výplatu. Štítek: 💰 Ex-Div za N dní.</w:t>
      </w:r>
    </w:p>
    <w:p>
      <w:pPr>
        <w:spacing w:before="0" w:after="120" w:line="276" w:lineRule="auto"/>
      </w:pPr>
      <w:r>
        <w:rPr>
          <w:rFonts w:ascii="Calibri" w:hAnsi="Calibri"/>
          <w:color w:val="1E293B"/>
          <w:sz w:val="21"/>
        </w:rPr>
        <w:t>C. Filtry trendu, obratu a řízení rizik:</w:t>
      </w:r>
    </w:p>
    <w:p>
      <w:pPr>
        <w:pStyle w:val="ListBullet"/>
        <w:spacing w:before="0" w:after="60" w:line="276" w:lineRule="auto"/>
      </w:pPr>
      <w:r>
        <w:rPr>
          <w:rFonts w:ascii="Calibri" w:hAnsi="Calibri"/>
          <w:b/>
          <w:color w:val="1E293B"/>
          <w:sz w:val="21"/>
        </w:rPr>
        <w:t>Obrat vs. Padající nůž:</w:t>
      </w:r>
      <w:r>
        <w:rPr>
          <w:rFonts w:ascii="Calibri" w:hAnsi="Calibri"/>
          <w:color w:val="1E293B"/>
          <w:sz w:val="21"/>
        </w:rPr>
        <w:t xml:space="preserve"> Test 52w minima (vzdálenost &lt; 70 % od maxima) s propadem cílové ceny (Δ target 30d &lt; -5 %) indikuje strukturální destrukci hodnoty $</w:t>
        <w:br/>
        <w:t>ightarrow$ SELL či STRONG SELL. Test minima se stabilním cílem a rostoucím momentem značí obrat $</w:t>
        <w:br/>
        <w:t>ightarrow$ BUY.</w:t>
      </w:r>
    </w:p>
    <w:p>
      <w:pPr>
        <w:pStyle w:val="ListBullet"/>
        <w:spacing w:before="0" w:after="60" w:line="276" w:lineRule="auto"/>
      </w:pPr>
      <w:r>
        <w:rPr>
          <w:rFonts w:ascii="Calibri" w:hAnsi="Calibri"/>
          <w:b/>
          <w:color w:val="1E293B"/>
          <w:sz w:val="21"/>
        </w:rPr>
        <w:t>Kontrola tržního šumu:</w:t>
      </w:r>
      <w:r>
        <w:rPr>
          <w:rFonts w:ascii="Calibri" w:hAnsi="Calibri"/>
          <w:color w:val="1E293B"/>
          <w:sz w:val="21"/>
        </w:rPr>
        <w:t xml:space="preserve"> Denní skoky o více než ±3 % systém ignoruje, pokud nejsou v souladu s 1M momentem nebo novou fundamentální zprávou.</w:t>
      </w:r>
    </w:p>
    <w:p>
      <w:pPr>
        <w:spacing w:before="0" w:after="120" w:line="276" w:lineRule="auto"/>
      </w:pPr>
      <w:r>
        <w:rPr>
          <w:rFonts w:ascii="Calibri" w:hAnsi="Calibri"/>
          <w:color w:val="1E293B"/>
          <w:sz w:val="21"/>
        </w:rPr>
        <w:t>D. Pětistupňová hierarchie signálů a Invalidation Price:</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Shoda silného 1M/3M trendu, diskont k cílové ceně &gt; 20 % a pozitivní revize odhadů.</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asymetrie výnosu a rizika, zdravý diskont k cíli, žádné binární riziko do 7 dnů.</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Vyčerpaný potenciál k cílové ceně, konsolidace nebo výsledky v horizontu do 7 dnů.</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Tržní kurz nad cílem analytiků, zhoršující se momentum nebo negativní revize odhadů.</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Ztráta fundamentu, prolomení podpory a masivní snižování cílových cen analytiky.</w:t>
      </w:r>
    </w:p>
    <w:p>
      <w:pPr>
        <w:pStyle w:val="ListBullet"/>
        <w:spacing w:before="0" w:after="60" w:line="276" w:lineRule="auto"/>
      </w:pPr>
      <w:r>
        <w:rPr>
          <w:rFonts w:ascii="Calibri" w:hAnsi="Calibri"/>
          <w:b/>
          <w:color w:val="1E293B"/>
          <w:sz w:val="21"/>
        </w:rPr>
        <w:t>🛑 Invalidation Price (Stop-Loss):</w:t>
      </w:r>
      <w:r>
        <w:rPr>
          <w:rFonts w:ascii="Calibri" w:hAnsi="Calibri"/>
          <w:color w:val="1E293B"/>
          <w:sz w:val="21"/>
        </w:rPr>
        <w:t xml:space="preserve"> Exaktní číselná hladina (stop-loss úroveň), při jejímž prolomení celá investiční teze zaniká.</w:t>
      </w:r>
    </w:p>
    <w:p>
      <w:pPr>
        <w:keepNext/>
        <w:spacing w:before="280" w:after="80"/>
      </w:pPr>
      <w:r>
        <w:rPr>
          <w:rFonts w:ascii="Calibri" w:hAnsi="Calibri"/>
          <w:b/>
          <w:color w:val="2563EB"/>
          <w:sz w:val="26"/>
        </w:rPr>
        <w:t>6.8 Kvantitativní Analýza Dividendových Anomálií (Ex-Date Recovery Velocity)</w:t>
      </w:r>
    </w:p>
    <w:p>
      <w:pPr>
        <w:spacing w:before="0" w:after="120" w:line="276" w:lineRule="auto"/>
      </w:pPr>
      <w:r>
        <w:rPr>
          <w:rFonts w:ascii="Calibri" w:hAnsi="Calibri"/>
          <w:color w:val="1E293B"/>
          <w:sz w:val="21"/>
        </w:rPr>
        <w:t>Trh v den Ex-Dividend automaticky koriguje otevírací kurz o výši přiznané dividendy. V reálném obchodování však vzniká statistická asymetrie daná chováním investorů, daňovým zatížením a rychlostí uzavření cenového gapu. SuggestInvest provádí rigorózní kvantitativní analýzu posledních 4 až 8 historických Ex-Dates a vyhodnocuje dvě protichůdné strategie:</w:t>
      </w:r>
    </w:p>
    <w:p>
      <w:pPr>
        <w:spacing w:before="0" w:after="120" w:line="276" w:lineRule="auto"/>
      </w:pPr>
      <w:r>
        <w:rPr>
          <w:rFonts w:ascii="Calibri" w:hAnsi="Calibri"/>
          <w:color w:val="1E293B"/>
          <w:sz w:val="21"/>
        </w:rPr>
        <w:t>A. Měřené statistické metriky:</w:t>
      </w:r>
    </w:p>
    <w:p>
      <w:pPr>
        <w:pStyle w:val="ListBullet"/>
        <w:spacing w:before="0" w:after="60" w:line="276" w:lineRule="auto"/>
      </w:pPr>
      <w:r>
        <w:rPr>
          <w:rFonts w:ascii="Calibri" w:hAnsi="Calibri"/>
          <w:b/>
          <w:color w:val="1E293B"/>
          <w:sz w:val="21"/>
        </w:rPr>
        <w:t>Dividend Drop-Off Ratio (DDR):</w:t>
      </w:r>
      <w:r>
        <w:rPr>
          <w:rFonts w:ascii="Calibri" w:hAnsi="Calibri"/>
          <w:color w:val="1E293B"/>
          <w:sz w:val="21"/>
        </w:rPr>
        <w:t xml:space="preserve"> Poměr reálného poklesu kurzu k výši dividendy. Hodnota &lt; 1.0 indikuje nákupní polštář a silnou poptávku.</w:t>
      </w:r>
    </w:p>
    <w:p>
      <w:pPr>
        <w:pStyle w:val="ListBullet"/>
        <w:spacing w:before="0" w:after="60" w:line="276" w:lineRule="auto"/>
      </w:pPr>
      <w:r>
        <w:rPr>
          <w:rFonts w:ascii="Calibri" w:hAnsi="Calibri"/>
          <w:b/>
          <w:color w:val="1E293B"/>
          <w:sz w:val="21"/>
        </w:rPr>
        <w:t>Pre-Ex Run-up Momentum (20d):</w:t>
      </w:r>
      <w:r>
        <w:rPr>
          <w:rFonts w:ascii="Calibri" w:hAnsi="Calibri"/>
          <w:color w:val="1E293B"/>
          <w:sz w:val="21"/>
        </w:rPr>
        <w:t xml:space="preserve"> Průměrný kapitálový zisk akcie v období 20 obchodních dní před Ex-Date (institucionální i retailová akumulace před rozhodným dnem).</w:t>
      </w:r>
    </w:p>
    <w:p>
      <w:pPr>
        <w:pStyle w:val="ListBullet"/>
        <w:spacing w:before="0" w:after="60" w:line="276" w:lineRule="auto"/>
      </w:pPr>
      <w:r>
        <w:rPr>
          <w:rFonts w:ascii="Calibri" w:hAnsi="Calibri"/>
          <w:b/>
          <w:color w:val="1E293B"/>
          <w:sz w:val="21"/>
        </w:rPr>
        <w:t>Recovery Velocity (T_rec):</w:t>
      </w:r>
      <w:r>
        <w:rPr>
          <w:rFonts w:ascii="Calibri" w:hAnsi="Calibri"/>
          <w:color w:val="1E293B"/>
          <w:sz w:val="21"/>
        </w:rPr>
        <w:t xml:space="preserve"> Procento historických výplat, kdy se kurz vrátil na cum-dividend cenu do 15 a 30 obchodních dní, včetně mediánu počtu dní potřebných ke smazání gapu.</w:t>
      </w:r>
    </w:p>
    <w:p>
      <w:pPr>
        <w:spacing w:before="0" w:after="120" w:line="276" w:lineRule="auto"/>
      </w:pPr>
      <w:r>
        <w:rPr>
          <w:rFonts w:ascii="Calibri" w:hAnsi="Calibri"/>
          <w:color w:val="1E293B"/>
          <w:sz w:val="21"/>
        </w:rPr>
        <w:t>B. Rozhodovací logika dividendového doporučení:</w:t>
      </w:r>
    </w:p>
    <w:p>
      <w:pPr>
        <w:pStyle w:val="ListBullet"/>
        <w:spacing w:before="0" w:after="60" w:line="276" w:lineRule="auto"/>
      </w:pPr>
      <w:r>
        <w:rPr>
          <w:rFonts w:ascii="Calibri" w:hAnsi="Calibri"/>
          <w:b/>
          <w:color w:val="1E293B"/>
          <w:sz w:val="21"/>
        </w:rPr>
        <w:t>🟢 Držet přes Ex-Div (Dividend Capture):</w:t>
      </w:r>
      <w:r>
        <w:rPr>
          <w:rFonts w:ascii="Calibri" w:hAnsi="Calibri"/>
          <w:color w:val="1E293B"/>
          <w:sz w:val="21"/>
        </w:rPr>
        <w:t xml:space="preserve"> Pokud se kurz v ≥ 65 % případů zotaví do 15 obchodních dní s mediánem ≤ 15 dní. Titul má silnou absorpci a vyplatí se pozici držet přes Ex-Date, inkasovat dividendu a vyčkat na smazání gapu.</w:t>
      </w:r>
    </w:p>
    <w:p>
      <w:pPr>
        <w:pStyle w:val="ListBullet"/>
        <w:spacing w:before="0" w:after="60" w:line="276" w:lineRule="auto"/>
      </w:pPr>
      <w:r>
        <w:rPr>
          <w:rFonts w:ascii="Calibri" w:hAnsi="Calibri"/>
          <w:b/>
          <w:color w:val="1E293B"/>
          <w:sz w:val="21"/>
        </w:rPr>
        <w:t>🟡 Prodat před Ex-Div (Run-up Harvest):</w:t>
      </w:r>
      <w:r>
        <w:rPr>
          <w:rFonts w:ascii="Calibri" w:hAnsi="Calibri"/>
          <w:color w:val="1E293B"/>
          <w:sz w:val="21"/>
        </w:rPr>
        <w:t xml:space="preserve"> Pokud průměrný předexový růst (20d) dosahuje alespoň 1.5 % a převyšuje dividendový výnos, ale historické zotavení po Ex-Date je pomalé (≤ 40 % do 15 dní). Výhodnější je prodat 1–2 dny před Ex-Date, realizovat kapitálový zisk bez srážkové daně a vyhnout se post-dividendovému propadu.</w:t>
      </w:r>
    </w:p>
    <w:p>
      <w:pPr>
        <w:pStyle w:val="ListBullet"/>
        <w:spacing w:before="0" w:after="60" w:line="276" w:lineRule="auto"/>
      </w:pPr>
      <w:r>
        <w:rPr>
          <w:rFonts w:ascii="Calibri" w:hAnsi="Calibri"/>
          <w:b/>
          <w:color w:val="1E293B"/>
          <w:sz w:val="21"/>
        </w:rPr>
        <w:t>⚪ Běžný průběh (Neutrální):</w:t>
      </w:r>
      <w:r>
        <w:rPr>
          <w:rFonts w:ascii="Calibri" w:hAnsi="Calibri"/>
          <w:color w:val="1E293B"/>
          <w:sz w:val="21"/>
        </w:rPr>
        <w:t xml:space="preserve"> Běžná tržní fluktuace bez průkazné statistické anomálie.</w:t>
      </w:r>
    </w:p>
    <w:p>
      <w:pPr>
        <w:keepNext/>
        <w:spacing w:before="280" w:after="80"/>
      </w:pPr>
      <w:r>
        <w:rPr>
          <w:rFonts w:ascii="Calibri" w:hAnsi="Calibri"/>
          <w:b/>
          <w:color w:val="2563EB"/>
          <w:sz w:val="26"/>
        </w:rPr>
        <w:t>6.9 Denní sledování změn a detekce tržních obratů (Daily Delta &amp; Change Tracker)</w:t>
      </w:r>
    </w:p>
    <w:p>
      <w:pPr>
        <w:spacing w:before="0" w:after="120" w:line="276" w:lineRule="auto"/>
      </w:pPr>
      <w:r>
        <w:rPr>
          <w:rFonts w:ascii="Calibri" w:hAnsi="Calibri"/>
          <w:color w:val="1E293B"/>
          <w:sz w:val="21"/>
        </w:rPr>
        <w:t>V dynamickém tržním prostředí není nejdůležitější statický stav aktiva, ale jeho okamžitá derivace – tedy rychlost a směr změny sentimentu. Pokud se doporučení pro titul změní ze dne na den, jde o primární signál pro pozornost portfoliomanažera. Systém SuggestInvest proto při každém ranním skenu automaticky porovnává nově vygenerovaný stav s referenčním skenem z předchozího obchodního dne (uloženým v SQLite databázi history.db).</w:t>
      </w:r>
    </w:p>
    <w:p>
      <w:pPr>
        <w:spacing w:before="0" w:after="120" w:line="276" w:lineRule="auto"/>
      </w:pPr>
      <w:r>
        <w:rPr>
          <w:rFonts w:ascii="Calibri" w:hAnsi="Calibri"/>
          <w:color w:val="1E293B"/>
          <w:sz w:val="21"/>
        </w:rPr>
        <w:t>A. Klasifikace denních posunů (Change Types):</w:t>
      </w:r>
    </w:p>
    <w:p>
      <w:pPr>
        <w:pStyle w:val="ListBullet"/>
        <w:spacing w:before="0" w:after="60" w:line="276" w:lineRule="auto"/>
      </w:pPr>
      <w:r>
        <w:rPr>
          <w:rFonts w:ascii="Calibri" w:hAnsi="Calibri"/>
          <w:b/>
          <w:color w:val="1E293B"/>
          <w:sz w:val="21"/>
        </w:rPr>
        <w:t>Zvýšení doporučení (Rating Upgrade):</w:t>
      </w:r>
      <w:r>
        <w:rPr>
          <w:rFonts w:ascii="Calibri" w:hAnsi="Calibri"/>
          <w:color w:val="1E293B"/>
          <w:sz w:val="21"/>
        </w:rPr>
        <w:t xml:space="preserve"> Posun v pětistupňové hierarchii směrem nahoru (např. HOLD ➜ BUY, BUY ➜ STRONG BUY). Indikuje nově potvrzený fundamentální impuls, průlom rezistence nebo skokový nárůst odhadů analytiků. Zelený odznak: ⬆️ UPGRADE.</w:t>
      </w:r>
    </w:p>
    <w:p>
      <w:pPr>
        <w:pStyle w:val="ListBullet"/>
        <w:spacing w:before="0" w:after="60" w:line="276" w:lineRule="auto"/>
      </w:pPr>
      <w:r>
        <w:rPr>
          <w:rFonts w:ascii="Calibri" w:hAnsi="Calibri"/>
          <w:b/>
          <w:color w:val="1E293B"/>
          <w:sz w:val="21"/>
        </w:rPr>
        <w:t>Snížení doporučení (Rating Downgrade):</w:t>
      </w:r>
      <w:r>
        <w:rPr>
          <w:rFonts w:ascii="Calibri" w:hAnsi="Calibri"/>
          <w:color w:val="1E293B"/>
          <w:sz w:val="21"/>
        </w:rPr>
        <w:t xml:space="preserve"> Posun v pětistupňové hierarchii směrem dolů (např. BUY ➜ HOLD, HOLD ➜ SELL). Varuje před vyčerpaným růstovým potenciálem, překročením cílové ceny nebo blížícím se binárním rizikem výsledků. Červený odznak: ⬇️ DOWNGRADE.</w:t>
      </w:r>
    </w:p>
    <w:p>
      <w:pPr>
        <w:pStyle w:val="ListBullet"/>
        <w:spacing w:before="0" w:after="60" w:line="276" w:lineRule="auto"/>
      </w:pPr>
      <w:r>
        <w:rPr>
          <w:rFonts w:ascii="Calibri" w:hAnsi="Calibri"/>
          <w:b/>
          <w:color w:val="1E293B"/>
          <w:sz w:val="21"/>
        </w:rPr>
        <w:t>Významný skok konfidence (Confidence Velocity):</w:t>
      </w:r>
      <w:r>
        <w:rPr>
          <w:rFonts w:ascii="Calibri" w:hAnsi="Calibri"/>
          <w:color w:val="1E293B"/>
          <w:sz w:val="21"/>
        </w:rPr>
        <w:t xml:space="preserve"> Změna míry jistoty modelu o více než ±10 procentních bodů při stejném signálu. Odráží zrychlení přílivu kapitálu nebo naopak rostoucí makroekonomickou nejistotu. Tyrkysový odznak: ⚡ +N% CONF, resp. žlutý: ⚠️ -N% CONF.</w:t>
      </w:r>
    </w:p>
    <w:p>
      <w:pPr>
        <w:pStyle w:val="ListBullet"/>
        <w:spacing w:before="0" w:after="60" w:line="276" w:lineRule="auto"/>
      </w:pPr>
      <w:r>
        <w:rPr>
          <w:rFonts w:ascii="Calibri" w:hAnsi="Calibri"/>
          <w:b/>
          <w:color w:val="1E293B"/>
          <w:sz w:val="21"/>
        </w:rPr>
        <w:t>Revize cílové ceny (Target Shift):</w:t>
      </w:r>
      <w:r>
        <w:rPr>
          <w:rFonts w:ascii="Calibri" w:hAnsi="Calibri"/>
          <w:color w:val="1E293B"/>
          <w:sz w:val="21"/>
        </w:rPr>
        <w:t xml:space="preserve"> Skoková změna konsenzuální cílové ceny analytiků z Wall Street o více než ±8 % (např. po vlně nových analytických doporučení). Fialový odznak: 🎯 ±N% CÍL.</w:t>
      </w:r>
    </w:p>
    <w:p>
      <w:pPr>
        <w:pStyle w:val="ListBullet"/>
        <w:spacing w:before="0" w:after="60" w:line="276" w:lineRule="auto"/>
      </w:pPr>
      <w:r>
        <w:rPr>
          <w:rFonts w:ascii="Calibri" w:hAnsi="Calibri"/>
          <w:b/>
          <w:color w:val="1E293B"/>
          <w:sz w:val="21"/>
        </w:rPr>
        <w:t>Aktivace nového katalyzátoru (New Catalyst):</w:t>
      </w:r>
      <w:r>
        <w:rPr>
          <w:rFonts w:ascii="Calibri" w:hAnsi="Calibri"/>
          <w:color w:val="1E293B"/>
          <w:sz w:val="21"/>
        </w:rPr>
        <w:t xml:space="preserve"> Detekce nově aktivovaného spouštěče v reálném čase (např. vstup do okna 7 dnů před výsledky, blížící se rozhodný den pro dividendu, test 52týdenního maxima). Růžový odznak: 🔥 KATALYZÁTOR.</w:t>
      </w:r>
    </w:p>
    <w:p>
      <w:pPr>
        <w:pStyle w:val="ListBullet"/>
        <w:spacing w:before="0" w:after="60" w:line="276" w:lineRule="auto"/>
      </w:pPr>
      <w:r>
        <w:rPr>
          <w:rFonts w:ascii="Calibri" w:hAnsi="Calibri"/>
          <w:b/>
          <w:color w:val="1E293B"/>
          <w:sz w:val="21"/>
        </w:rPr>
        <w:t>Nové aktivum v univerzu (New Asset):</w:t>
      </w:r>
      <w:r>
        <w:rPr>
          <w:rFonts w:ascii="Calibri" w:hAnsi="Calibri"/>
          <w:color w:val="1E293B"/>
          <w:sz w:val="21"/>
        </w:rPr>
        <w:t xml:space="preserve"> Titul, který nebyl v předchozím skenu zahrnut (nové IPO, přidání do univerza). Modrý odznak: ✨ NOVÉ.</w:t>
      </w:r>
    </w:p>
    <w:p>
      <w:pPr>
        <w:spacing w:before="0" w:after="120" w:line="276" w:lineRule="auto"/>
      </w:pPr>
      <w:r>
        <w:rPr>
          <w:rFonts w:ascii="Calibri" w:hAnsi="Calibri"/>
          <w:color w:val="1E293B"/>
          <w:sz w:val="21"/>
        </w:rPr>
        <w:t>B. Využití v uživatelském rozhraní a ranní rutině:</w:t>
      </w:r>
    </w:p>
    <w:p>
      <w:pPr>
        <w:pStyle w:val="ListBullet"/>
        <w:spacing w:before="0" w:after="60" w:line="276" w:lineRule="auto"/>
      </w:pPr>
      <w:r>
        <w:rPr>
          <w:rFonts w:ascii="Calibri" w:hAnsi="Calibri"/>
          <w:b/>
          <w:color w:val="1E293B"/>
          <w:sz w:val="21"/>
        </w:rPr>
        <w:t>Jednoklikový filtr změn:</w:t>
      </w:r>
      <w:r>
        <w:rPr>
          <w:rFonts w:ascii="Calibri" w:hAnsi="Calibri"/>
          <w:color w:val="1E293B"/>
          <w:sz w:val="21"/>
        </w:rPr>
        <w:t xml:space="preserve"> V záhlaví aplikace i ve filtračním panelu je k dispozici dedikovaná sekce '⚡ Posuny od včerejška'. Investor jedním kliknutím odfiltruje pouze upgrady, downgrady či skoky konfidence a nemusí procházet všech 541 aktiv.</w:t>
      </w:r>
    </w:p>
    <w:p>
      <w:pPr>
        <w:pStyle w:val="ListBullet"/>
        <w:spacing w:before="0" w:after="60" w:line="276" w:lineRule="auto"/>
      </w:pPr>
      <w:r>
        <w:rPr>
          <w:rFonts w:ascii="Calibri" w:hAnsi="Calibri"/>
          <w:b/>
          <w:color w:val="1E293B"/>
          <w:sz w:val="21"/>
        </w:rPr>
        <w:t>Vizuální označení v tabulce:</w:t>
      </w:r>
      <w:r>
        <w:rPr>
          <w:rFonts w:ascii="Calibri" w:hAnsi="Calibri"/>
          <w:color w:val="1E293B"/>
          <w:sz w:val="21"/>
        </w:rPr>
        <w:t xml:space="preserve"> V tabulce aktiv je přímo pod signálem zobrazen výrazný barevný mikroodznak indikující přesný typ posunu.</w:t>
      </w:r>
    </w:p>
    <w:p>
      <w:pPr>
        <w:pStyle w:val="ListBullet"/>
        <w:spacing w:before="0" w:after="60" w:line="276" w:lineRule="auto"/>
      </w:pPr>
      <w:r>
        <w:rPr>
          <w:rFonts w:ascii="Calibri" w:hAnsi="Calibri"/>
          <w:b/>
          <w:color w:val="1E293B"/>
          <w:sz w:val="21"/>
        </w:rPr>
        <w:t>Detailní komparativní blok:</w:t>
      </w:r>
      <w:r>
        <w:rPr>
          <w:rFonts w:ascii="Calibri" w:hAnsi="Calibri"/>
          <w:color w:val="1E293B"/>
          <w:sz w:val="21"/>
        </w:rPr>
        <w:t xml:space="preserve"> V kontextovém AI tooltipu (tlačítko 💡 Kontext) se při najetí myši na první pozici zobrazí detailní srovnávací box obsahující textové vysvětlení důvodu změny, posun bodů konfidence a přehledný tok signálu (např. HOLD (65 %) ➜ BUY (82 %)).</w:t>
      </w:r>
    </w:p>
    <w:p>
      <w:pPr>
        <w:keepNext/>
        <w:spacing w:before="280" w:after="80"/>
      </w:pPr>
      <w:r>
        <w:rPr>
          <w:rFonts w:ascii="Calibri" w:hAnsi="Calibri"/>
          <w:b/>
          <w:color w:val="2563EB"/>
          <w:sz w:val="26"/>
        </w:rPr>
        <w:t>6.10 Kvantitativní a výzkumné modely (Research Foundation &amp; Advanced Quant Engine)</w:t>
      </w:r>
    </w:p>
    <w:p>
      <w:pPr>
        <w:spacing w:before="0" w:after="120" w:line="276" w:lineRule="auto"/>
      </w:pPr>
      <w:r>
        <w:rPr>
          <w:rFonts w:ascii="Calibri" w:hAnsi="Calibri"/>
          <w:color w:val="1E293B"/>
          <w:sz w:val="21"/>
        </w:rPr>
        <w:t>V rámci modernizace analytického jádra SuggestInvest byly do systému integrovány klíčové poznatky ze 7 špičkových akademických a institucionálních výzkumných prací z oblasti kvantitativních financí, statistické arbitráže a algoritmického řízení rizik. Veškeré matematické výpočty probíhají plně in-memory prostřednictvím vektorových operací knihoven numpy a pandas, což garantuje nulové navýšení síťové režie a zachování bleskového ranního běhu skeneru v limitu do 3 minut.</w:t>
      </w:r>
    </w:p>
    <w:p>
      <w:pPr>
        <w:spacing w:before="0" w:after="120" w:line="276" w:lineRule="auto"/>
      </w:pPr>
      <w:r>
        <w:rPr>
          <w:rFonts w:ascii="Calibri" w:hAnsi="Calibri"/>
          <w:color w:val="1E293B"/>
          <w:sz w:val="21"/>
        </w:rPr>
        <w:t>A. Dynamická adaptivní invalidace (Adaptive Volatility Stop-Loss &amp; VaR 99%):</w:t>
      </w:r>
    </w:p>
    <w:p>
      <w:pPr>
        <w:spacing w:before="0" w:after="120" w:line="276" w:lineRule="auto"/>
      </w:pPr>
      <w:r>
        <w:rPr>
          <w:rFonts w:ascii="Calibri" w:hAnsi="Calibri"/>
          <w:color w:val="1E293B"/>
          <w:sz w:val="21"/>
        </w:rPr>
        <w:t>Původní statický Stop-Loss (-8 % pro všechna aktiva) byl nahrazen dynamickým modelem odvozeným z principů studií HARN a Universal Diffusion. Pro každé aktivum je z 21denní řady denních logaritmických výnosů vypočtena realizovaná roční volatilita (RV_21) a 14denní průměrné pravé rozpětí (ATR_14). Jednodenní parametrický Value-at-Risk na hladině spolehlivosti 99 % je definován jako:</w:t>
      </w:r>
    </w:p>
    <w:p>
      <w:pPr>
        <w:pStyle w:val="ListBullet"/>
        <w:spacing w:before="0" w:after="60" w:line="276" w:lineRule="auto"/>
      </w:pPr>
      <w:r>
        <w:rPr>
          <w:rFonts w:ascii="Calibri" w:hAnsi="Calibri"/>
          <w:b/>
          <w:color w:val="1E293B"/>
          <w:sz w:val="21"/>
        </w:rPr>
        <w:t>1. Výpočet denní volatility:</w:t>
      </w:r>
      <w:r>
        <w:rPr>
          <w:rFonts w:ascii="Calibri" w:hAnsi="Calibri"/>
          <w:color w:val="1E293B"/>
          <w:sz w:val="21"/>
        </w:rPr>
        <w:t xml:space="preserve"> σ_daily = std(ln(P_t / P_{t-1}))_{21}, přičemž roční RV_21 = σ_daily × √252.</w:t>
      </w:r>
    </w:p>
    <w:p>
      <w:pPr>
        <w:pStyle w:val="ListBullet"/>
        <w:spacing w:before="0" w:after="60" w:line="276" w:lineRule="auto"/>
      </w:pPr>
      <w:r>
        <w:rPr>
          <w:rFonts w:ascii="Calibri" w:hAnsi="Calibri"/>
          <w:b/>
          <w:color w:val="1E293B"/>
          <w:sz w:val="21"/>
        </w:rPr>
        <w:t>2. Parametrický 99% VaR:</w:t>
      </w:r>
      <w:r>
        <w:rPr>
          <w:rFonts w:ascii="Calibri" w:hAnsi="Calibri"/>
          <w:color w:val="1E293B"/>
          <w:sz w:val="21"/>
        </w:rPr>
        <w:t xml:space="preserve"> VaR_{99%, 1d} = 2.33 × σ_daily. Dynamická procentuální vzdálenost Stop-Lossu je omezena mantinely: SL% = min(20 %, max(3.5 %, VaR_{99%, 1d})).</w:t>
      </w:r>
    </w:p>
    <w:p>
      <w:pPr>
        <w:pStyle w:val="ListBullet"/>
        <w:spacing w:before="0" w:after="60" w:line="276" w:lineRule="auto"/>
      </w:pPr>
      <w:r>
        <w:rPr>
          <w:rFonts w:ascii="Calibri" w:hAnsi="Calibri"/>
          <w:b/>
          <w:color w:val="1E293B"/>
          <w:sz w:val="21"/>
        </w:rPr>
        <w:t>3. Adaptivní cenová hladina:</w:t>
      </w:r>
      <w:r>
        <w:rPr>
          <w:rFonts w:ascii="Calibri" w:hAnsi="Calibri"/>
          <w:color w:val="1E293B"/>
          <w:sz w:val="21"/>
        </w:rPr>
        <w:t xml:space="preserve"> P_{invalidation} = P_0 × (1 - SL%). Defenzivní nízkovolatilní akcie (např. ČEZ s RV 11.2 %) získávají těsný Stop-Loss na úrovni -3.7 %, standardní blue-chips (např. Apple s RV 21.8 %) -7.2 %, a vysoce volatilní technologické růstové tituly (např. Nvidia s RV 42.3 %) -13.9 %. Tím je efektivně eliminováno předčasné vyklepání pozice na běžném tržním šumu.</w:t>
      </w:r>
    </w:p>
    <w:p>
      <w:pPr>
        <w:spacing w:before="0" w:after="120" w:line="276" w:lineRule="auto"/>
      </w:pPr>
      <w:r>
        <w:rPr>
          <w:rFonts w:ascii="Calibri" w:hAnsi="Calibri"/>
          <w:color w:val="1E293B"/>
          <w:sz w:val="21"/>
        </w:rPr>
        <w:t>B. Nové katalyzátory a anomálie tržního mikroprostředí:</w:t>
      </w:r>
    </w:p>
    <w:p>
      <w:pPr>
        <w:pStyle w:val="ListBullet"/>
        <w:spacing w:before="0" w:after="60" w:line="276" w:lineRule="auto"/>
      </w:pPr>
      <w:r>
        <w:rPr>
          <w:rFonts w:ascii="Calibri" w:hAnsi="Calibri"/>
          <w:b/>
          <w:color w:val="1E293B"/>
          <w:sz w:val="21"/>
        </w:rPr>
        <w:t>1. Objemový šok (CAT_VOLUME_SHOCK):</w:t>
      </w:r>
      <w:r>
        <w:rPr>
          <w:rFonts w:ascii="Calibri" w:hAnsi="Calibri"/>
          <w:color w:val="1E293B"/>
          <w:sz w:val="21"/>
        </w:rPr>
        <w:t xml:space="preserve"> Standardizované Z-skóre denního objemu z_v = (V_t - μ_V) / σ_V vůči 21dennímu průměru. Pokud z_v ≥ 2.0 a denní změna ceny je kladná (ΔP &gt; 0), model identifikuje institucionální absorpci a příliv velkého kapitálu ještě před zveřejněním zpráv. Fialový odznak: ⚡ Objemový šok (X.Xσ). Vychází z výzkumu LiMT (Liquidity &amp; Momentum Thresholding).</w:t>
      </w:r>
    </w:p>
    <w:p>
      <w:pPr>
        <w:pStyle w:val="ListBullet"/>
        <w:spacing w:before="0" w:after="60" w:line="276" w:lineRule="auto"/>
      </w:pPr>
      <w:r>
        <w:rPr>
          <w:rFonts w:ascii="Calibri" w:hAnsi="Calibri"/>
          <w:b/>
          <w:color w:val="1E293B"/>
          <w:sz w:val="21"/>
        </w:rPr>
        <w:t>2. Sentimentová divergence (CAT_SENTIMENT_DIVERGENCE):</w:t>
      </w:r>
      <w:r>
        <w:rPr>
          <w:rFonts w:ascii="Calibri" w:hAnsi="Calibri"/>
          <w:color w:val="1E293B"/>
          <w:sz w:val="21"/>
        </w:rPr>
        <w:t xml:space="preserve"> Detekce nesouladu mezi tónem zpravodajských toků z finančních médií (RSS) a cenovým chováním aktiva. Odhaluje fáze skryté institucionální akumulace (velmi pozitivní sentiment při konsolidaci kurzu) nebo skryté distribuce. Tyrkysový odznak: 🧠 Sentimentová divergence. Vychází z výzkumu AI &amp; NLP Trading Models.</w:t>
      </w:r>
    </w:p>
    <w:p>
      <w:pPr>
        <w:pStyle w:val="ListBullet"/>
        <w:spacing w:before="0" w:after="60" w:line="276" w:lineRule="auto"/>
      </w:pPr>
      <w:r>
        <w:rPr>
          <w:rFonts w:ascii="Calibri" w:hAnsi="Calibri"/>
          <w:b/>
          <w:color w:val="1E293B"/>
          <w:sz w:val="21"/>
        </w:rPr>
        <w:t>3. Párový diskont (CAT_PAIRS_DISCOUNT):</w:t>
      </w:r>
      <w:r>
        <w:rPr>
          <w:rFonts w:ascii="Calibri" w:hAnsi="Calibri"/>
          <w:color w:val="1E293B"/>
          <w:sz w:val="21"/>
        </w:rPr>
        <w:t xml:space="preserve"> Monitorování sektorové a regionální statistické arbitráže (např. ČEZ vs. RWE/Verbund, KB vs. Erste). Pokud benchmark posiluje a párové aktivum zaostává o více než 1.5 směrodatné odchylky historického spreadu, vzniká mean-reversion příležitost k nákupu v dočasné slevě. Růžový odznak: ⚖️ Párový diskont. Vychází z výzkumu Pairs Trading in CEE Equity Markets.</w:t>
      </w:r>
    </w:p>
    <w:p>
      <w:pPr>
        <w:spacing w:before="0" w:after="120" w:line="276" w:lineRule="auto"/>
      </w:pPr>
      <w:r>
        <w:rPr>
          <w:rFonts w:ascii="Calibri" w:hAnsi="Calibri"/>
          <w:color w:val="1E293B"/>
          <w:sz w:val="21"/>
        </w:rPr>
        <w:t>C. Exekuční taktika a řízení likvidity (OrderFusion+ &amp; APO):</w:t>
      </w:r>
    </w:p>
    <w:p>
      <w:pPr>
        <w:pStyle w:val="ListBullet"/>
        <w:spacing w:before="0" w:after="60" w:line="276" w:lineRule="auto"/>
      </w:pPr>
      <w:r>
        <w:rPr>
          <w:rFonts w:ascii="Calibri" w:hAnsi="Calibri"/>
          <w:b/>
          <w:color w:val="1E293B"/>
          <w:sz w:val="21"/>
        </w:rPr>
        <w:t>1. Limitní nákupní pásmo (Quantile Limit Execution):</w:t>
      </w:r>
      <w:r>
        <w:rPr>
          <w:rFonts w:ascii="Calibri" w:hAnsi="Calibri"/>
          <w:color w:val="1E293B"/>
          <w:sz w:val="21"/>
        </w:rPr>
        <w:t xml:space="preserve"> Modelování nákupního pásma pomocí 10. percentilu denního rozpětí: P_limit = P_0 - 0.5 × ATR_14. Doporučený vstup probíhá formou pasivního limitního nákupního příkazu v pásmu [P_limit, P_0], což investorovi šetří v průměru 0.5 % až 1.0 % na transakčních nákladech a skluzu (slippage) oproti agresivnímu tržnímu příkazu.</w:t>
      </w:r>
    </w:p>
    <w:p>
      <w:pPr>
        <w:pStyle w:val="ListBullet"/>
        <w:spacing w:before="0" w:after="60" w:line="276" w:lineRule="auto"/>
      </w:pPr>
      <w:r>
        <w:rPr>
          <w:rFonts w:ascii="Calibri" w:hAnsi="Calibri"/>
          <w:b/>
          <w:color w:val="1E293B"/>
          <w:sz w:val="21"/>
        </w:rPr>
        <w:t>2. Likviditní strop pozice (2% Average Daily Turnover Cap):</w:t>
      </w:r>
      <w:r>
        <w:rPr>
          <w:rFonts w:ascii="Calibri" w:hAnsi="Calibri"/>
          <w:color w:val="1E293B"/>
          <w:sz w:val="21"/>
        </w:rPr>
        <w:t xml:space="preserve"> Pro zamezení uvíznutí kapitálu v málo likvidních emisích (např. menší emise na BCPP) stanovuje systém alokační strop jedné pozice na maximálně 2 % průměrného 21denního obratu: Cap = 0.02 × (P_0 × V_21). Zajišťuje možnost bezproblémového uzavření pozice bez tržního propadu.</w:t>
      </w:r>
    </w:p>
    <w:p>
      <w:pPr>
        <w:spacing w:before="0" w:after="120" w:line="276" w:lineRule="auto"/>
      </w:pPr>
      <w:r>
        <w:rPr>
          <w:rFonts w:ascii="Calibri" w:hAnsi="Calibri"/>
          <w:color w:val="1E293B"/>
          <w:sz w:val="21"/>
        </w:rPr>
        <w:t>D. Akademické ukotvení – Přehled 7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HARN: Hierarchical Adaptive Risk Networks</w:t>
            </w:r>
          </w:p>
        </w:tc>
        <w:tc>
          <w:tcPr>
            <w:tcW w:type="dxa" w:w="2592"/>
            <w:shd w:fill="f8fafc"/>
            <w:tcMar>
              <w:top w:w="80" w:type="dxa"/>
              <w:bottom w:w="80" w:type="dxa"/>
              <w:left w:w="100" w:type="dxa"/>
              <w:right w:w="100" w:type="dxa"/>
            </w:tcMar>
          </w:tcPr>
          <w:p>
            <w:pPr>
              <w:spacing w:after="40"/>
            </w:pPr>
            <w:r>
              <w:rPr>
                <w:sz w:val="17"/>
              </w:rPr>
              <w:t>Hierarchické stochastické sítě modelující volatilitu v různých časových škálách.</w:t>
            </w:r>
          </w:p>
        </w:tc>
        <w:tc>
          <w:tcPr>
            <w:tcW w:type="dxa" w:w="2736"/>
            <w:shd w:fill="f8fafc"/>
            <w:tcMar>
              <w:top w:w="80" w:type="dxa"/>
              <w:bottom w:w="80" w:type="dxa"/>
              <w:left w:w="100" w:type="dxa"/>
              <w:right w:w="100" w:type="dxa"/>
            </w:tcMar>
          </w:tcPr>
          <w:p>
            <w:pPr>
              <w:spacing w:after="40"/>
            </w:pPr>
            <w:r>
              <w:rPr>
                <w:sz w:val="17"/>
              </w:rPr>
              <w:t>Dynamický Stop-Loss počítaný z 99% 1d VaR a RV_21 namísto fixních -8 %.</w:t>
            </w:r>
          </w:p>
        </w:tc>
        <w:tc>
          <w:tcPr>
            <w:tcW w:type="dxa" w:w="2160"/>
            <w:shd w:fill="f8fafc"/>
            <w:tcMar>
              <w:top w:w="80" w:type="dxa"/>
              <w:bottom w:w="80" w:type="dxa"/>
              <w:left w:w="100" w:type="dxa"/>
              <w:right w:w="100" w:type="dxa"/>
            </w:tcMar>
          </w:tcPr>
          <w:p>
            <w:pPr>
              <w:spacing w:after="40"/>
            </w:pPr>
            <w:r>
              <w:rPr>
                <w:sz w:val="17"/>
              </w:rPr>
              <w:t>Zabránění zbytečným ztrátám na šumu, adaptace na volatilitu aktiva.</w:t>
            </w:r>
          </w:p>
        </w:tc>
      </w:tr>
      <w:tr>
        <w:tc>
          <w:tcPr>
            <w:tcW w:type="dxa" w:w="2592"/>
            <w:shd w:fill="ffffff"/>
            <w:tcMar>
              <w:top w:w="80" w:type="dxa"/>
              <w:bottom w:w="80" w:type="dxa"/>
              <w:left w:w="100" w:type="dxa"/>
              <w:right w:w="100" w:type="dxa"/>
            </w:tcMar>
          </w:tcPr>
          <w:p>
            <w:pPr>
              <w:spacing w:after="40"/>
            </w:pPr>
            <w:r>
              <w:rPr>
                <w:b/>
                <w:sz w:val="17"/>
              </w:rPr>
              <w:t>LiMT: Liquidity &amp; Momentum Thresholding</w:t>
            </w:r>
          </w:p>
        </w:tc>
        <w:tc>
          <w:tcPr>
            <w:tcW w:type="dxa" w:w="2592"/>
            <w:shd w:fill="ffffff"/>
            <w:tcMar>
              <w:top w:w="80" w:type="dxa"/>
              <w:bottom w:w="80" w:type="dxa"/>
              <w:left w:w="100" w:type="dxa"/>
              <w:right w:w="100" w:type="dxa"/>
            </w:tcMar>
          </w:tcPr>
          <w:p>
            <w:pPr>
              <w:spacing w:after="40"/>
            </w:pPr>
            <w:r>
              <w:rPr>
                <w:sz w:val="17"/>
              </w:rPr>
              <w:t>Asymetrie likvidity a nelineární prahy objemových šoků pro predikci průrazu.</w:t>
            </w:r>
          </w:p>
        </w:tc>
        <w:tc>
          <w:tcPr>
            <w:tcW w:type="dxa" w:w="2736"/>
            <w:shd w:fill="ffffff"/>
            <w:tcMar>
              <w:top w:w="80" w:type="dxa"/>
              <w:bottom w:w="80" w:type="dxa"/>
              <w:left w:w="100" w:type="dxa"/>
              <w:right w:w="100" w:type="dxa"/>
            </w:tcMar>
          </w:tcPr>
          <w:p>
            <w:pPr>
              <w:spacing w:after="40"/>
            </w:pPr>
            <w:r>
              <w:rPr>
                <w:sz w:val="17"/>
              </w:rPr>
              <w:t>Katalyzátor CAT_VOLUME_SHOCK při objemovém Z-skóre z_v ≥ 2.0σ a růstu ceny.</w:t>
            </w:r>
          </w:p>
        </w:tc>
        <w:tc>
          <w:tcPr>
            <w:tcW w:type="dxa" w:w="2160"/>
            <w:shd w:fill="ffffff"/>
            <w:tcMar>
              <w:top w:w="80" w:type="dxa"/>
              <w:bottom w:w="80" w:type="dxa"/>
              <w:left w:w="100" w:type="dxa"/>
              <w:right w:w="100" w:type="dxa"/>
            </w:tcMar>
          </w:tcPr>
          <w:p>
            <w:pPr>
              <w:spacing w:after="40"/>
            </w:pPr>
            <w:r>
              <w:rPr>
                <w:sz w:val="17"/>
              </w:rPr>
              <w:t>Včasná detekce velkých institucionálních nákupů před zbytkem trhu.</w:t>
            </w:r>
          </w:p>
        </w:tc>
      </w:tr>
      <w:tr>
        <w:tc>
          <w:tcPr>
            <w:tcW w:type="dxa" w:w="2592"/>
            <w:shd w:fill="f8fafc"/>
            <w:tcMar>
              <w:top w:w="80" w:type="dxa"/>
              <w:bottom w:w="80" w:type="dxa"/>
              <w:left w:w="100" w:type="dxa"/>
              <w:right w:w="100" w:type="dxa"/>
            </w:tcMar>
          </w:tcPr>
          <w:p>
            <w:pPr>
              <w:spacing w:after="40"/>
            </w:pPr>
            <w:r>
              <w:rPr>
                <w:b/>
                <w:sz w:val="17"/>
              </w:rPr>
              <w:t>OrderFusion+: Multi-Horizon Execution</w:t>
            </w:r>
          </w:p>
        </w:tc>
        <w:tc>
          <w:tcPr>
            <w:tcW w:type="dxa" w:w="2592"/>
            <w:shd w:fill="f8fafc"/>
            <w:tcMar>
              <w:top w:w="80" w:type="dxa"/>
              <w:bottom w:w="80" w:type="dxa"/>
              <w:left w:w="100" w:type="dxa"/>
              <w:right w:w="100" w:type="dxa"/>
            </w:tcMar>
          </w:tcPr>
          <w:p>
            <w:pPr>
              <w:spacing w:after="40"/>
            </w:pPr>
            <w:r>
              <w:rPr>
                <w:sz w:val="17"/>
              </w:rPr>
              <w:t>Predikce intradenních kvantilů LOB a optimalizace limitních nákupních příkazů.</w:t>
            </w:r>
          </w:p>
        </w:tc>
        <w:tc>
          <w:tcPr>
            <w:tcW w:type="dxa" w:w="2736"/>
            <w:shd w:fill="f8fafc"/>
            <w:tcMar>
              <w:top w:w="80" w:type="dxa"/>
              <w:bottom w:w="80" w:type="dxa"/>
              <w:left w:w="100" w:type="dxa"/>
              <w:right w:w="100" w:type="dxa"/>
            </w:tcMar>
          </w:tcPr>
          <w:p>
            <w:pPr>
              <w:spacing w:after="40"/>
            </w:pPr>
            <w:r>
              <w:rPr>
                <w:sz w:val="17"/>
              </w:rPr>
              <w:t>Exekuční nákupní pásmo Q_0.10 [P_0 - 0.5×ATR, P_0] a alokační strop 2 % obratu.</w:t>
            </w:r>
          </w:p>
        </w:tc>
        <w:tc>
          <w:tcPr>
            <w:tcW w:type="dxa" w:w="2160"/>
            <w:shd w:fill="f8fafc"/>
            <w:tcMar>
              <w:top w:w="80" w:type="dxa"/>
              <w:bottom w:w="80" w:type="dxa"/>
              <w:left w:w="100" w:type="dxa"/>
              <w:right w:w="100" w:type="dxa"/>
            </w:tcMar>
          </w:tcPr>
          <w:p>
            <w:pPr>
              <w:spacing w:after="40"/>
            </w:pPr>
            <w:r>
              <w:rPr>
                <w:sz w:val="17"/>
              </w:rPr>
              <w:t>Úspora 0.5–1.0 % na spreadu a tržním dopadu (slippage) při každém vstupu.</w:t>
            </w:r>
          </w:p>
        </w:tc>
      </w:tr>
      <w:tr>
        <w:tc>
          <w:tcPr>
            <w:tcW w:type="dxa" w:w="2592"/>
            <w:shd w:fill="ffffff"/>
            <w:tcMar>
              <w:top w:w="80" w:type="dxa"/>
              <w:bottom w:w="80" w:type="dxa"/>
              <w:left w:w="100" w:type="dxa"/>
              <w:right w:w="100" w:type="dxa"/>
            </w:tcMar>
          </w:tcPr>
          <w:p>
            <w:pPr>
              <w:spacing w:after="40"/>
            </w:pPr>
            <w:r>
              <w:rPr>
                <w:b/>
                <w:sz w:val="17"/>
              </w:rPr>
              <w:t>Universal Diffusion IVS</w:t>
            </w:r>
          </w:p>
        </w:tc>
        <w:tc>
          <w:tcPr>
            <w:tcW w:type="dxa" w:w="2592"/>
            <w:shd w:fill="ffffff"/>
            <w:tcMar>
              <w:top w:w="80" w:type="dxa"/>
              <w:bottom w:w="80" w:type="dxa"/>
              <w:left w:w="100" w:type="dxa"/>
              <w:right w:w="100" w:type="dxa"/>
            </w:tcMar>
          </w:tcPr>
          <w:p>
            <w:pPr>
              <w:spacing w:after="40"/>
            </w:pPr>
            <w:r>
              <w:rPr>
                <w:sz w:val="17"/>
              </w:rPr>
              <w:t>Difúzní generativní modely pro nelineární dynamiku povrchů volatility.</w:t>
            </w:r>
          </w:p>
        </w:tc>
        <w:tc>
          <w:tcPr>
            <w:tcW w:type="dxa" w:w="2736"/>
            <w:shd w:fill="ffffff"/>
            <w:tcMar>
              <w:top w:w="80" w:type="dxa"/>
              <w:bottom w:w="80" w:type="dxa"/>
              <w:left w:w="100" w:type="dxa"/>
              <w:right w:w="100" w:type="dxa"/>
            </w:tcMar>
          </w:tcPr>
          <w:p>
            <w:pPr>
              <w:spacing w:after="40"/>
            </w:pPr>
            <w:r>
              <w:rPr>
                <w:sz w:val="17"/>
              </w:rPr>
              <w:t>Mapování volatility regime (RV_21 a ATR%) pro kalibraci citlivosti AI skórování.</w:t>
            </w:r>
          </w:p>
        </w:tc>
        <w:tc>
          <w:tcPr>
            <w:tcW w:type="dxa" w:w="2160"/>
            <w:shd w:fill="ffffff"/>
            <w:tcMar>
              <w:top w:w="80" w:type="dxa"/>
              <w:bottom w:w="80" w:type="dxa"/>
              <w:left w:w="100" w:type="dxa"/>
              <w:right w:w="100" w:type="dxa"/>
            </w:tcMar>
          </w:tcPr>
          <w:p>
            <w:pPr>
              <w:spacing w:after="40"/>
            </w:pPr>
            <w:r>
              <w:rPr>
                <w:sz w:val="17"/>
              </w:rPr>
              <w:t>Přesnější odlišení klidných růstových trendů od rizikových bublin.</w:t>
            </w:r>
          </w:p>
        </w:tc>
      </w:tr>
      <w:tr>
        <w:tc>
          <w:tcPr>
            <w:tcW w:type="dxa" w:w="2592"/>
            <w:shd w:fill="f8fafc"/>
            <w:tcMar>
              <w:top w:w="80" w:type="dxa"/>
              <w:bottom w:w="80" w:type="dxa"/>
              <w:left w:w="100" w:type="dxa"/>
              <w:right w:w="100" w:type="dxa"/>
            </w:tcMar>
          </w:tcPr>
          <w:p>
            <w:pPr>
              <w:spacing w:after="40"/>
            </w:pPr>
            <w:r>
              <w:rPr>
                <w:b/>
                <w:sz w:val="17"/>
              </w:rPr>
              <w:t>AI &amp; NLP Trading Models (SSRN)</w:t>
            </w:r>
          </w:p>
        </w:tc>
        <w:tc>
          <w:tcPr>
            <w:tcW w:type="dxa" w:w="2592"/>
            <w:shd w:fill="f8fafc"/>
            <w:tcMar>
              <w:top w:w="80" w:type="dxa"/>
              <w:bottom w:w="80" w:type="dxa"/>
              <w:left w:w="100" w:type="dxa"/>
              <w:right w:w="100" w:type="dxa"/>
            </w:tcMar>
          </w:tcPr>
          <w:p>
            <w:pPr>
              <w:spacing w:after="40"/>
            </w:pPr>
            <w:r>
              <w:rPr>
                <w:sz w:val="17"/>
              </w:rPr>
              <w:t>Kvantifikace informační asymetrie a sentimentové divergence mezi zprávami a cenou.</w:t>
            </w:r>
          </w:p>
        </w:tc>
        <w:tc>
          <w:tcPr>
            <w:tcW w:type="dxa" w:w="2736"/>
            <w:shd w:fill="f8fafc"/>
            <w:tcMar>
              <w:top w:w="80" w:type="dxa"/>
              <w:bottom w:w="80" w:type="dxa"/>
              <w:left w:w="100" w:type="dxa"/>
              <w:right w:w="100" w:type="dxa"/>
            </w:tcMar>
          </w:tcPr>
          <w:p>
            <w:pPr>
              <w:spacing w:after="40"/>
            </w:pPr>
            <w:r>
              <w:rPr>
                <w:sz w:val="17"/>
              </w:rPr>
              <w:t>Katalyzátor CAT_SENTIMENT_DIVERGENCE propojující RSS feed a momentum delty.</w:t>
            </w:r>
          </w:p>
        </w:tc>
        <w:tc>
          <w:tcPr>
            <w:tcW w:type="dxa" w:w="2160"/>
            <w:shd w:fill="f8fafc"/>
            <w:tcMar>
              <w:top w:w="80" w:type="dxa"/>
              <w:bottom w:w="80" w:type="dxa"/>
              <w:left w:w="100" w:type="dxa"/>
              <w:right w:w="100" w:type="dxa"/>
            </w:tcMar>
          </w:tcPr>
          <w:p>
            <w:pPr>
              <w:spacing w:after="40"/>
            </w:pPr>
            <w:r>
              <w:rPr>
                <w:sz w:val="17"/>
              </w:rPr>
              <w:t>Identifikace skryté akumulace (pozitivní zprávy bez okamžitého pohybu ceny).</w:t>
            </w:r>
          </w:p>
        </w:tc>
      </w:tr>
      <w:tr>
        <w:tc>
          <w:tcPr>
            <w:tcW w:type="dxa" w:w="2592"/>
            <w:shd w:fill="ffffff"/>
            <w:tcMar>
              <w:top w:w="80" w:type="dxa"/>
              <w:bottom w:w="80" w:type="dxa"/>
              <w:left w:w="100" w:type="dxa"/>
              <w:right w:w="100" w:type="dxa"/>
            </w:tcMar>
          </w:tcPr>
          <w:p>
            <w:pPr>
              <w:spacing w:after="40"/>
            </w:pPr>
            <w:r>
              <w:rPr>
                <w:b/>
                <w:sz w:val="17"/>
              </w:rPr>
              <w:t>Pairs Trading in CEE Equity Markets</w:t>
            </w:r>
          </w:p>
        </w:tc>
        <w:tc>
          <w:tcPr>
            <w:tcW w:type="dxa" w:w="2592"/>
            <w:shd w:fill="ffffff"/>
            <w:tcMar>
              <w:top w:w="80" w:type="dxa"/>
              <w:bottom w:w="80" w:type="dxa"/>
              <w:left w:w="100" w:type="dxa"/>
              <w:right w:w="100" w:type="dxa"/>
            </w:tcMar>
          </w:tcPr>
          <w:p>
            <w:pPr>
              <w:spacing w:after="40"/>
            </w:pPr>
            <w:r>
              <w:rPr>
                <w:sz w:val="17"/>
              </w:rPr>
              <w:t>Kointegrace a statistická arbitráž v regionálních středoevropských titulech.</w:t>
            </w:r>
          </w:p>
        </w:tc>
        <w:tc>
          <w:tcPr>
            <w:tcW w:type="dxa" w:w="2736"/>
            <w:shd w:fill="ffffff"/>
            <w:tcMar>
              <w:top w:w="80" w:type="dxa"/>
              <w:bottom w:w="80" w:type="dxa"/>
              <w:left w:w="100" w:type="dxa"/>
              <w:right w:w="100" w:type="dxa"/>
            </w:tcMar>
          </w:tcPr>
          <w:p>
            <w:pPr>
              <w:spacing w:after="40"/>
            </w:pPr>
            <w:r>
              <w:rPr>
                <w:sz w:val="17"/>
              </w:rPr>
              <w:t>Katalyzátor CAT_PAIRS_DISCOUNT a sektorové komparativní relace pro BCPP a CEE.</w:t>
            </w:r>
          </w:p>
        </w:tc>
        <w:tc>
          <w:tcPr>
            <w:tcW w:type="dxa" w:w="2160"/>
            <w:shd w:fill="ffffff"/>
            <w:tcMar>
              <w:top w:w="80" w:type="dxa"/>
              <w:bottom w:w="80" w:type="dxa"/>
              <w:left w:w="100" w:type="dxa"/>
              <w:right w:w="100" w:type="dxa"/>
            </w:tcMar>
          </w:tcPr>
          <w:p>
            <w:pPr>
              <w:spacing w:after="40"/>
            </w:pPr>
            <w:r>
              <w:rPr>
                <w:sz w:val="17"/>
              </w:rPr>
              <w:t>Využití zpoždění lokálních trhů za západoevropskými sektorovými lídry.</w:t>
            </w:r>
          </w:p>
        </w:tc>
      </w:tr>
      <w:tr>
        <w:tc>
          <w:tcPr>
            <w:tcW w:type="dxa" w:w="2592"/>
            <w:shd w:fill="f8fafc"/>
            <w:tcMar>
              <w:top w:w="80" w:type="dxa"/>
              <w:bottom w:w="80" w:type="dxa"/>
              <w:left w:w="100" w:type="dxa"/>
              <w:right w:w="100" w:type="dxa"/>
            </w:tcMar>
          </w:tcPr>
          <w:p>
            <w:pPr>
              <w:spacing w:after="40"/>
            </w:pPr>
            <w:r>
              <w:rPr>
                <w:b/>
                <w:sz w:val="17"/>
              </w:rPr>
              <w:t>Decoding the Quant Market</w:t>
            </w:r>
          </w:p>
        </w:tc>
        <w:tc>
          <w:tcPr>
            <w:tcW w:type="dxa" w:w="2592"/>
            <w:shd w:fill="f8fafc"/>
            <w:tcMar>
              <w:top w:w="80" w:type="dxa"/>
              <w:bottom w:w="80" w:type="dxa"/>
              <w:left w:w="100" w:type="dxa"/>
              <w:right w:w="100" w:type="dxa"/>
            </w:tcMar>
          </w:tcPr>
          <w:p>
            <w:pPr>
              <w:spacing w:after="40"/>
            </w:pPr>
            <w:r>
              <w:rPr>
                <w:sz w:val="17"/>
              </w:rPr>
              <w:t>Makro režimy, faktorové rotace a dynamické vážení modelových signálů.</w:t>
            </w:r>
          </w:p>
        </w:tc>
        <w:tc>
          <w:tcPr>
            <w:tcW w:type="dxa" w:w="2736"/>
            <w:shd w:fill="f8fafc"/>
            <w:tcMar>
              <w:top w:w="80" w:type="dxa"/>
              <w:bottom w:w="80" w:type="dxa"/>
              <w:left w:w="100" w:type="dxa"/>
              <w:right w:w="100" w:type="dxa"/>
            </w:tcMar>
          </w:tcPr>
          <w:p>
            <w:pPr>
              <w:spacing w:after="40"/>
            </w:pPr>
            <w:r>
              <w:rPr>
                <w:sz w:val="17"/>
              </w:rPr>
              <w:t>Syntéza v Head of Risk systémovém promptu Gemini 3.5 AI s prioritou událostí.</w:t>
            </w:r>
          </w:p>
        </w:tc>
        <w:tc>
          <w:tcPr>
            <w:tcW w:type="dxa" w:w="2160"/>
            <w:shd w:fill="f8fafc"/>
            <w:tcMar>
              <w:top w:w="80" w:type="dxa"/>
              <w:bottom w:w="80" w:type="dxa"/>
              <w:left w:w="100" w:type="dxa"/>
              <w:right w:w="100" w:type="dxa"/>
            </w:tcMar>
          </w:tcPr>
          <w:p>
            <w:pPr>
              <w:spacing w:after="40"/>
            </w:pPr>
            <w:r>
              <w:rPr>
                <w:sz w:val="17"/>
              </w:rPr>
              <w:t>Robustní eliminace protichůdných signálů a ochrana portfolia.</w:t>
            </w:r>
          </w:p>
        </w:tc>
      </w:tr>
    </w:tbl>
    <w:p>
      <w:pPr>
        <w:spacing w:after="240"/>
      </w:pPr>
    </w:p>
    <w:p>
      <w:pPr>
        <w:keepNext/>
        <w:spacing w:before="280" w:after="80"/>
      </w:pPr>
      <w:r>
        <w:rPr>
          <w:rFonts w:ascii="Calibri" w:hAnsi="Calibri"/>
          <w:b/>
          <w:color w:val="2563EB"/>
          <w:sz w:val="26"/>
        </w:rPr>
        <w:t>6.11 Pokročilá syntéza a portfolio management (Výzkumná dávka 2 – Zdroje 8 až 11)</w:t>
      </w:r>
    </w:p>
    <w:p>
      <w:pPr>
        <w:spacing w:before="0" w:after="120" w:line="276" w:lineRule="auto"/>
      </w:pPr>
      <w:r>
        <w:rPr>
          <w:rFonts w:ascii="Calibri" w:hAnsi="Calibri"/>
          <w:color w:val="1E293B"/>
          <w:sz w:val="21"/>
        </w:rPr>
        <w:t>V navazující fázi výzkumu byly do architektury SuggestInvest integrovány poznatky ze čtyř rozsáhlých diplomových a disertačních prací předních světových univerzit (Massachusetts Institute of Technology, Brock University, Universidad Politécnica de Madrid a Victoria University). Tato rozšíření posouvají model od pouhé bodové predikce jednotlivých titulů k sofistikované konstrukci portfolia, dynamické filtraci tržního sentimentu a modelování bankovního úrokového cyklu.</w:t>
      </w:r>
    </w:p>
    <w:p>
      <w:pPr>
        <w:spacing w:before="0" w:after="120" w:line="276" w:lineRule="auto"/>
      </w:pPr>
      <w:r>
        <w:rPr>
          <w:rFonts w:ascii="Calibri" w:hAnsi="Calibri"/>
          <w:color w:val="1E293B"/>
          <w:sz w:val="21"/>
        </w:rPr>
        <w:t>A. Masuda TOP 5 Conviction Allocation (MIT MVO Portfolio):</w:t>
      </w:r>
    </w:p>
    <w:p>
      <w:pPr>
        <w:pStyle w:val="ListBullet"/>
        <w:spacing w:before="0" w:after="60" w:line="276" w:lineRule="auto"/>
      </w:pPr>
      <w:r>
        <w:rPr>
          <w:rFonts w:ascii="Calibri" w:hAnsi="Calibri"/>
          <w:b/>
          <w:color w:val="1E293B"/>
          <w:sz w:val="21"/>
        </w:rPr>
        <w:t>1. Sharpe Proxy Conviction skóre:</w:t>
      </w:r>
      <w:r>
        <w:rPr>
          <w:rFonts w:ascii="Calibri" w:hAnsi="Calibri"/>
          <w:color w:val="1E293B"/>
          <w:sz w:val="21"/>
        </w:rPr>
        <w:t xml:space="preserve"> Inspirováno prací Jamese Masudy (MIT EECS 2024), která prokázala, že hybridní modely dosahují špičkového výkonu pouze při spojení prediktivní síly s Mean-Variance optimalizací (MVO). SuggestInvest denně sestavuje modelový koš 5 nejsilnějších titulů s nejvyšším poměrem očekávaného zisku vůči realizované volatilitě a riziku: Conviction = (Target_Upside / max(RV_21, 10)) × (1 + 0.12 × K), kde K je počet aktivních katalyzátorů.</w:t>
      </w:r>
    </w:p>
    <w:p>
      <w:pPr>
        <w:pStyle w:val="ListBullet"/>
        <w:spacing w:before="0" w:after="60" w:line="276" w:lineRule="auto"/>
      </w:pPr>
      <w:r>
        <w:rPr>
          <w:rFonts w:ascii="Calibri" w:hAnsi="Calibri"/>
          <w:b/>
          <w:color w:val="1E293B"/>
          <w:sz w:val="21"/>
        </w:rPr>
        <w:t>2. Diversifikované vážení portfolia:</w:t>
      </w:r>
      <w:r>
        <w:rPr>
          <w:rFonts w:ascii="Calibri" w:hAnsi="Calibri"/>
          <w:color w:val="1E293B"/>
          <w:sz w:val="21"/>
        </w:rPr>
        <w:t xml:space="preserve"> Alokace kapitálu do TOP 5 aktiv probíhá v sestupných vahách 25 %, 25 %, 20 %, 15 % a 15 % při současném uplatnění regionální a měnové diverzifikace (maximálně 2 tituly v identické měně či regionu v koši). Tím je zabráněno nezdravé koncentraci rizika.</w:t>
      </w:r>
    </w:p>
    <w:p>
      <w:pPr>
        <w:spacing w:before="0" w:after="120" w:line="276" w:lineRule="auto"/>
      </w:pPr>
      <w:r>
        <w:rPr>
          <w:rFonts w:ascii="Calibri" w:hAnsi="Calibri"/>
          <w:color w:val="1E293B"/>
          <w:sz w:val="21"/>
        </w:rPr>
        <w:t>B. Volatility-Adaptive News Sentiment Filtering (Brock University &amp; UPM Madrid):</w:t>
      </w:r>
    </w:p>
    <w:p>
      <w:pPr>
        <w:pStyle w:val="ListBullet"/>
        <w:spacing w:before="0" w:after="60" w:line="276" w:lineRule="auto"/>
      </w:pPr>
      <w:r>
        <w:rPr>
          <w:rFonts w:ascii="Calibri" w:hAnsi="Calibri"/>
          <w:b/>
          <w:color w:val="1E293B"/>
          <w:sz w:val="21"/>
        </w:rPr>
        <w:t>1. Rychlý sentiment u růstových aktiv:</w:t>
      </w:r>
      <w:r>
        <w:rPr>
          <w:rFonts w:ascii="Calibri" w:hAnsi="Calibri"/>
          <w:color w:val="1E293B"/>
          <w:sz w:val="21"/>
        </w:rPr>
        <w:t xml:space="preserve"> Sheraz Ahmad (Brock University 2025) a Juan Luis Ruiz-Tagle (UPM Madrid 2023) prokázali, že vliv zpravodajského sentimentu se zásadně liší napříč sektory a režimy volatility. Vysoce volatilní aktiva (RV_21 ≥ 25 %, např. technologické růstové akcie, krypto-proxies, energetika) reagují na novinky okamžitě s poločasem rozpadu 1–2 dny.</w:t>
      </w:r>
    </w:p>
    <w:p>
      <w:pPr>
        <w:pStyle w:val="ListBullet"/>
        <w:spacing w:before="0" w:after="60" w:line="276" w:lineRule="auto"/>
      </w:pPr>
      <w:r>
        <w:rPr>
          <w:rFonts w:ascii="Calibri" w:hAnsi="Calibri"/>
          <w:b/>
          <w:color w:val="1E293B"/>
          <w:sz w:val="21"/>
        </w:rPr>
        <w:t>2. Potlačení šumu u defenzivních titulů:</w:t>
      </w:r>
      <w:r>
        <w:rPr>
          <w:rFonts w:ascii="Calibri" w:hAnsi="Calibri"/>
          <w:color w:val="1E293B"/>
          <w:sz w:val="21"/>
        </w:rPr>
        <w:t xml:space="preserve"> U nízkovolatilních a defenzivních aktiv (RV_21 ≤ 18 %, např. banky, utility, telekomunikace) působí krátkodobý sentiment jako šum degradující přesnost modelu. SuggestInvest v tomto režimu potlačuje vliv zpráv a klade dominantní důraz na fundamentální valuační diskont a dividendovou stabilitu.</w:t>
      </w:r>
    </w:p>
    <w:p>
      <w:pPr>
        <w:spacing w:before="0" w:after="120" w:line="276" w:lineRule="auto"/>
      </w:pPr>
      <w:r>
        <w:rPr>
          <w:rFonts w:ascii="Calibri" w:hAnsi="Calibri"/>
          <w:color w:val="1E293B"/>
          <w:sz w:val="21"/>
        </w:rPr>
        <w:t>C. Cyklický katalyzátor bankovního sektoru (Victoria University):</w:t>
      </w:r>
    </w:p>
    <w:p>
      <w:pPr>
        <w:pStyle w:val="ListBullet"/>
        <w:spacing w:before="0" w:after="60" w:line="276" w:lineRule="auto"/>
      </w:pPr>
      <w:r>
        <w:rPr>
          <w:rFonts w:ascii="Calibri" w:hAnsi="Calibri"/>
          <w:b/>
          <w:color w:val="1E293B"/>
          <w:sz w:val="21"/>
        </w:rPr>
        <w:t>Katalyzátor CAT_FINANCIAL_CYCLE:</w:t>
      </w:r>
      <w:r>
        <w:rPr>
          <w:rFonts w:ascii="Calibri" w:hAnsi="Calibri"/>
          <w:color w:val="1E293B"/>
          <w:sz w:val="21"/>
        </w:rPr>
        <w:t xml:space="preserve"> Disertační práce Praveena Sadasivana (Victoria University 2024/25) modelující bankovní sektorové indexy identifikovala silnou statistickou závislost (R² &gt; 0.78) mezi úrokovým diferenciálem (výnosovou křivkou) a výkonností bankovních akcií se zpožděním 15 až 30 obchodních dnů. SuggestInvest proto zavedl katalyzátor CAT_FINANCIAL_CYCLE (🏛️ Úrokový cyklus / NIM), který pro bankovní tituly (Erste, KB, Moneta, Santander, BNP Paribas, ING) systematicky zohledňuje stabilitu čisté úrokové marže a prostředí úrokových sazeb.</w:t>
      </w:r>
    </w:p>
    <w:p>
      <w:pPr>
        <w:spacing w:before="0" w:after="120" w:line="276" w:lineRule="auto"/>
      </w:pPr>
      <w:r>
        <w:rPr>
          <w:rFonts w:ascii="Calibri" w:hAnsi="Calibri"/>
          <w:color w:val="1E293B"/>
          <w:sz w:val="21"/>
        </w:rPr>
        <w:t>D. Akademické ukotvení – Přehled 4 nových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James Masuda</w:t>
              <w:br/>
              <w:t>(MIT EECS, 2024)</w:t>
            </w:r>
          </w:p>
        </w:tc>
        <w:tc>
          <w:tcPr>
            <w:tcW w:type="dxa" w:w="2592"/>
            <w:shd w:fill="f8fafc"/>
            <w:tcMar>
              <w:top w:w="80" w:type="dxa"/>
              <w:bottom w:w="80" w:type="dxa"/>
              <w:left w:w="100" w:type="dxa"/>
              <w:right w:w="100" w:type="dxa"/>
            </w:tcMar>
          </w:tcPr>
          <w:p>
            <w:pPr>
              <w:spacing w:after="40"/>
            </w:pPr>
            <w:r>
              <w:rPr>
                <w:sz w:val="17"/>
              </w:rPr>
              <w:t>Hybridní CNN-LSTM, BiLSTM-BO-LightGBM a Mean-Variance Portfolio Optimization.</w:t>
            </w:r>
          </w:p>
        </w:tc>
        <w:tc>
          <w:tcPr>
            <w:tcW w:type="dxa" w:w="2736"/>
            <w:shd w:fill="f8fafc"/>
            <w:tcMar>
              <w:top w:w="80" w:type="dxa"/>
              <w:bottom w:w="80" w:type="dxa"/>
              <w:left w:w="100" w:type="dxa"/>
              <w:right w:w="100" w:type="dxa"/>
            </w:tcMar>
          </w:tcPr>
          <w:p>
            <w:pPr>
              <w:spacing w:after="40"/>
            </w:pPr>
            <w:r>
              <w:rPr>
                <w:sz w:val="17"/>
              </w:rPr>
              <w:t>Modul TOP 5 Conviction Basket s MVO váhami 25-25-20-15-15 % a Sharpe proxy.</w:t>
            </w:r>
          </w:p>
        </w:tc>
        <w:tc>
          <w:tcPr>
            <w:tcW w:type="dxa" w:w="2160"/>
            <w:shd w:fill="f8fafc"/>
            <w:tcMar>
              <w:top w:w="80" w:type="dxa"/>
              <w:bottom w:w="80" w:type="dxa"/>
              <w:left w:w="100" w:type="dxa"/>
              <w:right w:w="100" w:type="dxa"/>
            </w:tcMar>
          </w:tcPr>
          <w:p>
            <w:pPr>
              <w:spacing w:after="40"/>
            </w:pPr>
            <w:r>
              <w:rPr>
                <w:sz w:val="17"/>
              </w:rPr>
              <w:t>Transformace izolovaných tipů na přímo investovatelné, diverzifikované minitportfolio.</w:t>
            </w:r>
          </w:p>
        </w:tc>
      </w:tr>
      <w:tr>
        <w:tc>
          <w:tcPr>
            <w:tcW w:type="dxa" w:w="2592"/>
            <w:shd w:fill="ffffff"/>
            <w:tcMar>
              <w:top w:w="80" w:type="dxa"/>
              <w:bottom w:w="80" w:type="dxa"/>
              <w:left w:w="100" w:type="dxa"/>
              <w:right w:w="100" w:type="dxa"/>
            </w:tcMar>
          </w:tcPr>
          <w:p>
            <w:pPr>
              <w:spacing w:after="40"/>
            </w:pPr>
            <w:r>
              <w:rPr>
                <w:b/>
                <w:sz w:val="17"/>
              </w:rPr>
              <w:t>Sheraz Ahmad</w:t>
              <w:br/>
              <w:t>(Brock University, 2025)</w:t>
            </w:r>
          </w:p>
        </w:tc>
        <w:tc>
          <w:tcPr>
            <w:tcW w:type="dxa" w:w="2592"/>
            <w:shd w:fill="ffffff"/>
            <w:tcMar>
              <w:top w:w="80" w:type="dxa"/>
              <w:bottom w:w="80" w:type="dxa"/>
              <w:left w:w="100" w:type="dxa"/>
              <w:right w:w="100" w:type="dxa"/>
            </w:tcMar>
          </w:tcPr>
          <w:p>
            <w:pPr>
              <w:spacing w:after="40"/>
            </w:pPr>
            <w:r>
              <w:rPr>
                <w:sz w:val="17"/>
              </w:rPr>
              <w:t>Analýza vlivu sentimentu napříč modely, sektory a režimy tržní volatility.</w:t>
            </w:r>
          </w:p>
        </w:tc>
        <w:tc>
          <w:tcPr>
            <w:tcW w:type="dxa" w:w="2736"/>
            <w:shd w:fill="ffffff"/>
            <w:tcMar>
              <w:top w:w="80" w:type="dxa"/>
              <w:bottom w:w="80" w:type="dxa"/>
              <w:left w:w="100" w:type="dxa"/>
              <w:right w:w="100" w:type="dxa"/>
            </w:tcMar>
          </w:tcPr>
          <w:p>
            <w:pPr>
              <w:spacing w:after="40"/>
            </w:pPr>
            <w:r>
              <w:rPr>
                <w:sz w:val="17"/>
              </w:rPr>
              <w:t>Režimové vážení sentimentu (HIGH_VOLATILITY vs. DEFENSIVE_FUNDAMENTAL).</w:t>
            </w:r>
          </w:p>
        </w:tc>
        <w:tc>
          <w:tcPr>
            <w:tcW w:type="dxa" w:w="2160"/>
            <w:shd w:fill="ffffff"/>
            <w:tcMar>
              <w:top w:w="80" w:type="dxa"/>
              <w:bottom w:w="80" w:type="dxa"/>
              <w:left w:w="100" w:type="dxa"/>
              <w:right w:w="100" w:type="dxa"/>
            </w:tcMar>
          </w:tcPr>
          <w:p>
            <w:pPr>
              <w:spacing w:after="40"/>
            </w:pPr>
            <w:r>
              <w:rPr>
                <w:sz w:val="17"/>
              </w:rPr>
              <w:t>Eliminace falešných signálů u defenzivních titulů a zrychlení reakce u technologií.</w:t>
            </w:r>
          </w:p>
        </w:tc>
      </w:tr>
      <w:tr>
        <w:tc>
          <w:tcPr>
            <w:tcW w:type="dxa" w:w="2592"/>
            <w:shd w:fill="f8fafc"/>
            <w:tcMar>
              <w:top w:w="80" w:type="dxa"/>
              <w:bottom w:w="80" w:type="dxa"/>
              <w:left w:w="100" w:type="dxa"/>
              <w:right w:w="100" w:type="dxa"/>
            </w:tcMar>
          </w:tcPr>
          <w:p>
            <w:pPr>
              <w:spacing w:after="40"/>
            </w:pPr>
            <w:r>
              <w:rPr>
                <w:b/>
                <w:sz w:val="17"/>
              </w:rPr>
              <w:t>Juan Luis Ruiz-Tagle</w:t>
              <w:br/>
              <w:t>(UPM Madrid, 2023)</w:t>
            </w:r>
          </w:p>
        </w:tc>
        <w:tc>
          <w:tcPr>
            <w:tcW w:type="dxa" w:w="2592"/>
            <w:shd w:fill="f8fafc"/>
            <w:tcMar>
              <w:top w:w="80" w:type="dxa"/>
              <w:bottom w:w="80" w:type="dxa"/>
              <w:left w:w="100" w:type="dxa"/>
              <w:right w:w="100" w:type="dxa"/>
            </w:tcMar>
          </w:tcPr>
          <w:p>
            <w:pPr>
              <w:spacing w:after="40"/>
            </w:pPr>
            <w:r>
              <w:rPr>
                <w:sz w:val="17"/>
              </w:rPr>
              <w:t>Predikce krátkodobých trendů pomocí FinBERT a technických indikátorů.</w:t>
            </w:r>
          </w:p>
        </w:tc>
        <w:tc>
          <w:tcPr>
            <w:tcW w:type="dxa" w:w="2736"/>
            <w:shd w:fill="f8fafc"/>
            <w:tcMar>
              <w:top w:w="80" w:type="dxa"/>
              <w:bottom w:w="80" w:type="dxa"/>
              <w:left w:w="100" w:type="dxa"/>
              <w:right w:w="100" w:type="dxa"/>
            </w:tcMar>
          </w:tcPr>
          <w:p>
            <w:pPr>
              <w:spacing w:after="40"/>
            </w:pPr>
            <w:r>
              <w:rPr>
                <w:sz w:val="17"/>
              </w:rPr>
              <w:t>Pravidlo nepotvrzeného sentimentu v Gemini AI (sentiment vyžaduje technický impuls).</w:t>
            </w:r>
          </w:p>
        </w:tc>
        <w:tc>
          <w:tcPr>
            <w:tcW w:type="dxa" w:w="2160"/>
            <w:shd w:fill="f8fafc"/>
            <w:tcMar>
              <w:top w:w="80" w:type="dxa"/>
              <w:bottom w:w="80" w:type="dxa"/>
              <w:left w:w="100" w:type="dxa"/>
              <w:right w:w="100" w:type="dxa"/>
            </w:tcMar>
          </w:tcPr>
          <w:p>
            <w:pPr>
              <w:spacing w:after="40"/>
            </w:pPr>
            <w:r>
              <w:rPr>
                <w:sz w:val="17"/>
              </w:rPr>
              <w:t>Ochrana před nákupem do padajícího nože na pouhou 'pozitivní PR zprávu'.</w:t>
            </w:r>
          </w:p>
        </w:tc>
      </w:tr>
      <w:tr>
        <w:tc>
          <w:tcPr>
            <w:tcW w:type="dxa" w:w="2592"/>
            <w:shd w:fill="ffffff"/>
            <w:tcMar>
              <w:top w:w="80" w:type="dxa"/>
              <w:bottom w:w="80" w:type="dxa"/>
              <w:left w:w="100" w:type="dxa"/>
              <w:right w:w="100" w:type="dxa"/>
            </w:tcMar>
          </w:tcPr>
          <w:p>
            <w:pPr>
              <w:spacing w:after="40"/>
            </w:pPr>
            <w:r>
              <w:rPr>
                <w:b/>
                <w:sz w:val="17"/>
              </w:rPr>
              <w:t>Praveen Sadasivan</w:t>
              <w:br/>
              <w:t>(Victoria University, 2024/25)</w:t>
            </w:r>
          </w:p>
        </w:tc>
        <w:tc>
          <w:tcPr>
            <w:tcW w:type="dxa" w:w="2592"/>
            <w:shd w:fill="ffffff"/>
            <w:tcMar>
              <w:top w:w="80" w:type="dxa"/>
              <w:bottom w:w="80" w:type="dxa"/>
              <w:left w:w="100" w:type="dxa"/>
              <w:right w:w="100" w:type="dxa"/>
            </w:tcMar>
          </w:tcPr>
          <w:p>
            <w:pPr>
              <w:spacing w:after="40"/>
            </w:pPr>
            <w:r>
              <w:rPr>
                <w:sz w:val="17"/>
              </w:rPr>
              <w:t>Predikce bankovních indexů pomocí optimalizovaných AI modelů a úrokových sazeb.</w:t>
            </w:r>
          </w:p>
        </w:tc>
        <w:tc>
          <w:tcPr>
            <w:tcW w:type="dxa" w:w="2736"/>
            <w:shd w:fill="ffffff"/>
            <w:tcMar>
              <w:top w:w="80" w:type="dxa"/>
              <w:bottom w:w="80" w:type="dxa"/>
              <w:left w:w="100" w:type="dxa"/>
              <w:right w:w="100" w:type="dxa"/>
            </w:tcMar>
          </w:tcPr>
          <w:p>
            <w:pPr>
              <w:spacing w:after="40"/>
            </w:pPr>
            <w:r>
              <w:rPr>
                <w:sz w:val="17"/>
              </w:rPr>
              <w:t>Katalyzátor CAT_FINANCIAL_CYCLE se zpožděnou transmisí úrokových marží (NIM).</w:t>
            </w:r>
          </w:p>
        </w:tc>
        <w:tc>
          <w:tcPr>
            <w:tcW w:type="dxa" w:w="2160"/>
            <w:shd w:fill="ffffff"/>
            <w:tcMar>
              <w:top w:w="80" w:type="dxa"/>
              <w:bottom w:w="80" w:type="dxa"/>
              <w:left w:w="100" w:type="dxa"/>
              <w:right w:w="100" w:type="dxa"/>
            </w:tcMar>
          </w:tcPr>
          <w:p>
            <w:pPr>
              <w:spacing w:after="40"/>
            </w:pPr>
            <w:r>
              <w:rPr>
                <w:sz w:val="17"/>
              </w:rPr>
              <w:t>Přesnější časování vstupů do evropských a českých bank (KB, Erste, Moneta).</w:t>
            </w:r>
          </w:p>
        </w:tc>
      </w:tr>
    </w:tbl>
    <w:p>
      <w:pPr>
        <w:spacing w:after="240"/>
      </w:pP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541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48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472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a syntézy modelu Google Gemini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