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557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557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3.8 Flash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557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3.8 Flash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557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3.8 Flash</w:t>
      </w:r>
    </w:p>
    <w:p>
      <w:pPr>
        <w:spacing w:before="0" w:after="120" w:line="276" w:lineRule="auto"/>
      </w:pPr>
      <w:r>
        <w:rPr>
          <w:rFonts w:ascii="Calibri" w:hAnsi="Calibri"/>
          <w:color w:val="1E293B"/>
          <w:sz w:val="21"/>
        </w:rPr>
        <w:t>Jako hlavní analytický a kvantitativní engine využívá SuggestInvest špičkový produkční model Google Gemini 3.8 Flash. Tento model byl zvolen pro svou mimořádnou úroveň logického uvažování (reasoning), bleskovou odezvu a striktní schopnost dodržovat složitá strukturovaná Pydantic JSON schémata bez syntaktických chyb. Model funguje v roli Senior Quantitative Equity Analyst &amp; Head of Portfolio Risk – syntetizuje kurzové chování, fundamentální diskonty k analytickým cílům, časové horizonty kvartálních výsledků a sektorové režimy do rigorózních doporučení.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(13 institucionálních štítků)</w:t>
      </w:r>
    </w:p>
    <w:p>
      <w:pPr>
        <w:spacing w:before="0" w:after="120" w:line="276" w:lineRule="auto"/>
      </w:pPr>
      <w:r>
        <w:rPr>
          <w:rFonts w:ascii="Calibri" w:hAnsi="Calibri"/>
          <w:color w:val="1E293B"/>
          <w:sz w:val="21"/>
        </w:rPr>
        <w:t>Systém kartám přiřazuje až 4 relevantní štítky z přesně definované sady 13 institucionálních katalyzátorů na základě kvantitativních filtrů, firemních kalendářů a výzkumných modelů:</w:t>
      </w:r>
    </w:p>
    <w:p>
      <w:pPr>
        <w:pStyle w:val="ListBullet"/>
        <w:spacing w:before="0" w:after="60" w:line="276" w:lineRule="auto"/>
      </w:pPr>
      <w:r>
        <w:rPr>
          <w:rFonts w:ascii="Calibri" w:hAnsi="Calibri"/>
          <w:b/>
          <w:color w:val="1E293B"/>
          <w:sz w:val="21"/>
        </w:rPr>
        <w:t>⚡ Objemový průraz (LiMT):</w:t>
      </w:r>
      <w:r>
        <w:rPr>
          <w:rFonts w:ascii="Calibri" w:hAnsi="Calibri"/>
          <w:color w:val="1E293B"/>
          <w:sz w:val="21"/>
        </w:rPr>
        <w:t xml:space="preserve"> Z-skóre denního objemu z_v &gt;= 2.0σ při růstu ceny; indikuje institucionální akumulaci a růst likvidity (výzkum LiMT).</w:t>
      </w:r>
    </w:p>
    <w:p>
      <w:pPr>
        <w:pStyle w:val="ListBullet"/>
        <w:spacing w:before="0" w:after="60" w:line="276" w:lineRule="auto"/>
      </w:pPr>
      <w:r>
        <w:rPr>
          <w:rFonts w:ascii="Calibri" w:hAnsi="Calibri"/>
          <w:b/>
          <w:color w:val="1E293B"/>
          <w:sz w:val="21"/>
        </w:rPr>
        <w:t>🧠 Sentiment Divergence:</w:t>
      </w:r>
      <w:r>
        <w:rPr>
          <w:rFonts w:ascii="Calibri" w:hAnsi="Calibri"/>
          <w:color w:val="1E293B"/>
          <w:sz w:val="21"/>
        </w:rPr>
        <w:t xml:space="preserve"> Tržní kurz konsoliduje (-6 % až +2 %), ale cíl analytiků roste a diskont &gt;= 15 %; skrytá akumulace velkými hráči.</w:t>
      </w:r>
    </w:p>
    <w:p>
      <w:pPr>
        <w:pStyle w:val="ListBullet"/>
        <w:spacing w:before="0" w:after="60" w:line="276" w:lineRule="auto"/>
      </w:pPr>
      <w:r>
        <w:rPr>
          <w:rFonts w:ascii="Calibri" w:hAnsi="Calibri"/>
          <w:b/>
          <w:color w:val="1E293B"/>
          <w:sz w:val="21"/>
        </w:rPr>
        <w:t>⚖️ Sektorový diskont (Pairs):</w:t>
      </w:r>
      <w:r>
        <w:rPr>
          <w:rFonts w:ascii="Calibri" w:hAnsi="Calibri"/>
          <w:color w:val="1E293B"/>
          <w:sz w:val="21"/>
        </w:rPr>
        <w:t xml:space="preserve"> Statistická arbitráž v rámci odvětví; aktivum zaostává za sektorovým párem o &gt; 1.5σ historického spreadu.</w:t>
      </w:r>
    </w:p>
    <w:p>
      <w:pPr>
        <w:pStyle w:val="ListBullet"/>
        <w:spacing w:before="0" w:after="60" w:line="276" w:lineRule="auto"/>
      </w:pPr>
      <w:r>
        <w:rPr>
          <w:rFonts w:ascii="Calibri" w:hAnsi="Calibri"/>
          <w:b/>
          <w:color w:val="1E293B"/>
          <w:sz w:val="21"/>
        </w:rPr>
        <w:t>🏛️ Úrokový cyklus (NIM):</w:t>
      </w:r>
      <w:r>
        <w:rPr>
          <w:rFonts w:ascii="Calibri" w:hAnsi="Calibri"/>
          <w:color w:val="1E293B"/>
          <w:sz w:val="21"/>
        </w:rPr>
        <w:t xml:space="preserve"> Pozitivní vliv úrokového prostředí a čisté úrokové marže (NIM) na bankovní sektor (zpoždění 15–30 dní).</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 podpořený kladným 1M a 3M momentem.</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do přeprodané oblasti (příležitost pro dip-buyers při stabilním fundamentu).</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nachází do 3 % od 52týdenního maxima (cena &gt;= 97 % z 52w High; býčí síla).</w:t>
      </w:r>
    </w:p>
    <w:p>
      <w:pPr>
        <w:pStyle w:val="ListBullet"/>
        <w:spacing w:before="0" w:after="60" w:line="276" w:lineRule="auto"/>
      </w:pPr>
      <w:r>
        <w:rPr>
          <w:rFonts w:ascii="Calibri" w:hAnsi="Calibri"/>
          <w:b/>
          <w:color w:val="1E293B"/>
          <w:sz w:val="21"/>
        </w:rPr>
        <w:t>🎯 Vysoký diskont:</w:t>
      </w:r>
      <w:r>
        <w:rPr>
          <w:rFonts w:ascii="Calibri" w:hAnsi="Calibri"/>
          <w:color w:val="1E293B"/>
          <w:sz w:val="21"/>
        </w:rPr>
        <w:t xml:space="preserve"> Očekávaný růst k průměrnému cíli analytiků &gt; +25 % při alespoň 5 analytických pokrýtích.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Aktuální tržní cena překročila konsenzus analytiků z Wall Street; vyčerpaný růstový potenciál.</w:t>
      </w:r>
    </w:p>
    <w:p>
      <w:pPr>
        <w:pStyle w:val="ListBullet"/>
        <w:spacing w:before="0" w:after="60" w:line="276" w:lineRule="auto"/>
      </w:pPr>
      <w:r>
        <w:rPr>
          <w:rFonts w:ascii="Calibri" w:hAnsi="Calibri"/>
          <w:b/>
          <w:color w:val="1E293B"/>
          <w:sz w:val="21"/>
        </w:rPr>
        <w:t>⏳ Výsledky do 7 dní:</w:t>
      </w:r>
      <w:r>
        <w:rPr>
          <w:rFonts w:ascii="Calibri" w:hAnsi="Calibri"/>
          <w:color w:val="1E293B"/>
          <w:sz w:val="21"/>
        </w:rPr>
        <w:t xml:space="preserve"> Zveřejnění kvartálních výsledků v horizontu do 7 dnů; vysoká implikovaná volatilita a binární riziko (strop na konfidenci 65 %).</w:t>
      </w:r>
    </w:p>
    <w:p>
      <w:pPr>
        <w:pStyle w:val="ListBullet"/>
        <w:spacing w:before="0" w:after="60" w:line="276" w:lineRule="auto"/>
      </w:pPr>
      <w:r>
        <w:rPr>
          <w:rFonts w:ascii="Calibri" w:hAnsi="Calibri"/>
          <w:b/>
          <w:color w:val="1E293B"/>
          <w:sz w:val="21"/>
        </w:rPr>
        <w:t>📅 Výsledky do 21 dní:</w:t>
      </w:r>
      <w:r>
        <w:rPr>
          <w:rFonts w:ascii="Calibri" w:hAnsi="Calibri"/>
          <w:color w:val="1E293B"/>
          <w:sz w:val="21"/>
        </w:rPr>
        <w:t xml:space="preserve"> Kvartální výsledky za 8 až 21 dnů; fáze předvýsledkového run-up akumulačního momenta.</w:t>
      </w:r>
    </w:p>
    <w:p>
      <w:pPr>
        <w:pStyle w:val="ListBullet"/>
        <w:spacing w:before="0" w:after="60" w:line="276" w:lineRule="auto"/>
      </w:pPr>
      <w:r>
        <w:rPr>
          <w:rFonts w:ascii="Calibri" w:hAnsi="Calibri"/>
          <w:b/>
          <w:color w:val="1E293B"/>
          <w:sz w:val="21"/>
        </w:rPr>
        <w:t>💰 Ex-Div za N dní:</w:t>
      </w:r>
      <w:r>
        <w:rPr>
          <w:rFonts w:ascii="Calibri" w:hAnsi="Calibri"/>
          <w:color w:val="1E293B"/>
          <w:sz w:val="21"/>
        </w:rPr>
        <w:t xml:space="preserve"> Rozhodný den pro výplatu dividendy (Ex-Dividend) v horizontu 1 až 14 dnů.</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v CZK s vysokým dividendovým výnosem a defenzivním profilem.</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557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Google Gemini 3.8 Flash,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557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280" w:after="80"/>
      </w:pPr>
      <w:r>
        <w:rPr>
          <w:rFonts w:ascii="Calibri" w:hAnsi="Calibri"/>
          <w:b/>
          <w:color w:val="2563EB"/>
          <w:sz w:val="26"/>
        </w:rPr>
        <w:t>6.8 Kvantitativní Analýza Dividendových Anomálií (Ex-Date Recovery Velocity)</w:t>
      </w:r>
    </w:p>
    <w:p>
      <w:pPr>
        <w:spacing w:before="0" w:after="120" w:line="276" w:lineRule="auto"/>
      </w:pPr>
      <w:r>
        <w:rPr>
          <w:rFonts w:ascii="Calibri" w:hAnsi="Calibri"/>
          <w:color w:val="1E293B"/>
          <w:sz w:val="21"/>
        </w:rPr>
        <w:t>Trh v den Ex-Dividend automaticky koriguje otevírací kurz o výši přiznané dividendy. V reálném obchodování však vzniká statistická asymetrie daná chováním investorů, daňovým zatížením a rychlostí uzavření cenového gapu. SuggestInvest provádí rigorózní kvantitativní analýzu posledních 4 až 8 historických Ex-Dates a vyhodnocuje dvě protichůdné strategie:</w:t>
      </w:r>
    </w:p>
    <w:p>
      <w:pPr>
        <w:spacing w:before="0" w:after="120" w:line="276" w:lineRule="auto"/>
      </w:pPr>
      <w:r>
        <w:rPr>
          <w:rFonts w:ascii="Calibri" w:hAnsi="Calibri"/>
          <w:color w:val="1E293B"/>
          <w:sz w:val="21"/>
        </w:rPr>
        <w:t>A. Měřené statistické metriky:</w:t>
      </w:r>
    </w:p>
    <w:p>
      <w:pPr>
        <w:pStyle w:val="ListBullet"/>
        <w:spacing w:before="0" w:after="60" w:line="276" w:lineRule="auto"/>
      </w:pPr>
      <w:r>
        <w:rPr>
          <w:rFonts w:ascii="Calibri" w:hAnsi="Calibri"/>
          <w:b/>
          <w:color w:val="1E293B"/>
          <w:sz w:val="21"/>
        </w:rPr>
        <w:t>Dividend Drop-Off Ratio (DDR):</w:t>
      </w:r>
      <w:r>
        <w:rPr>
          <w:rFonts w:ascii="Calibri" w:hAnsi="Calibri"/>
          <w:color w:val="1E293B"/>
          <w:sz w:val="21"/>
        </w:rPr>
        <w:t xml:space="preserve"> Poměr reálného poklesu kurzu k výši dividendy. Hodnota &lt; 1.0 indikuje nákupní polštář a silnou poptávku.</w:t>
      </w:r>
    </w:p>
    <w:p>
      <w:pPr>
        <w:pStyle w:val="ListBullet"/>
        <w:spacing w:before="0" w:after="60" w:line="276" w:lineRule="auto"/>
      </w:pPr>
      <w:r>
        <w:rPr>
          <w:rFonts w:ascii="Calibri" w:hAnsi="Calibri"/>
          <w:b/>
          <w:color w:val="1E293B"/>
          <w:sz w:val="21"/>
        </w:rPr>
        <w:t>Pre-Ex Run-up Momentum (20d):</w:t>
      </w:r>
      <w:r>
        <w:rPr>
          <w:rFonts w:ascii="Calibri" w:hAnsi="Calibri"/>
          <w:color w:val="1E293B"/>
          <w:sz w:val="21"/>
        </w:rPr>
        <w:t xml:space="preserve"> Průměrný kapitálový zisk akcie v období 20 obchodních dní před Ex-Date (institucionální i retailová akumulace před rozhodným dnem).</w:t>
      </w:r>
    </w:p>
    <w:p>
      <w:pPr>
        <w:pStyle w:val="ListBullet"/>
        <w:spacing w:before="0" w:after="60" w:line="276" w:lineRule="auto"/>
      </w:pPr>
      <w:r>
        <w:rPr>
          <w:rFonts w:ascii="Calibri" w:hAnsi="Calibri"/>
          <w:b/>
          <w:color w:val="1E293B"/>
          <w:sz w:val="21"/>
        </w:rPr>
        <w:t>Recovery Velocity (T_rec):</w:t>
      </w:r>
      <w:r>
        <w:rPr>
          <w:rFonts w:ascii="Calibri" w:hAnsi="Calibri"/>
          <w:color w:val="1E293B"/>
          <w:sz w:val="21"/>
        </w:rPr>
        <w:t xml:space="preserve"> Procento historických výplat, kdy se kurz vrátil na cum-dividend cenu do 15 a 30 obchodních dní, včetně mediánu počtu dní potřebných ke smazání gapu.</w:t>
      </w:r>
    </w:p>
    <w:p>
      <w:pPr>
        <w:spacing w:before="0" w:after="120" w:line="276" w:lineRule="auto"/>
      </w:pPr>
      <w:r>
        <w:rPr>
          <w:rFonts w:ascii="Calibri" w:hAnsi="Calibri"/>
          <w:color w:val="1E293B"/>
          <w:sz w:val="21"/>
        </w:rPr>
        <w:t>B. Rozhodovací logika dividendového doporučení:</w:t>
      </w:r>
    </w:p>
    <w:p>
      <w:pPr>
        <w:pStyle w:val="ListBullet"/>
        <w:spacing w:before="0" w:after="60" w:line="276" w:lineRule="auto"/>
      </w:pPr>
      <w:r>
        <w:rPr>
          <w:rFonts w:ascii="Calibri" w:hAnsi="Calibri"/>
          <w:b/>
          <w:color w:val="1E293B"/>
          <w:sz w:val="21"/>
        </w:rPr>
        <w:t>🟢 Držet přes Ex-Div (Dividend Capture):</w:t>
      </w:r>
      <w:r>
        <w:rPr>
          <w:rFonts w:ascii="Calibri" w:hAnsi="Calibri"/>
          <w:color w:val="1E293B"/>
          <w:sz w:val="21"/>
        </w:rPr>
        <w:t xml:space="preserve"> Pokud se kurz v ≥ 65 % případů zotaví do 15 obchodních dní s mediánem ≤ 15 dní. Titul má silnou absorpci a vyplatí se pozici držet přes Ex-Date, inkasovat dividendu a vyčkat na smazání gapu.</w:t>
      </w:r>
    </w:p>
    <w:p>
      <w:pPr>
        <w:pStyle w:val="ListBullet"/>
        <w:spacing w:before="0" w:after="60" w:line="276" w:lineRule="auto"/>
      </w:pPr>
      <w:r>
        <w:rPr>
          <w:rFonts w:ascii="Calibri" w:hAnsi="Calibri"/>
          <w:b/>
          <w:color w:val="1E293B"/>
          <w:sz w:val="21"/>
        </w:rPr>
        <w:t>🟡 Prodat před Ex-Div (Run-up Harvest):</w:t>
      </w:r>
      <w:r>
        <w:rPr>
          <w:rFonts w:ascii="Calibri" w:hAnsi="Calibri"/>
          <w:color w:val="1E293B"/>
          <w:sz w:val="21"/>
        </w:rPr>
        <w:t xml:space="preserve"> Pokud průměrný předexový růst (20d) dosahuje alespoň 1.5 % a převyšuje dividendový výnos, ale historické zotavení po Ex-Date je pomalé (≤ 40 % do 15 dní). Výhodnější je prodat 1–2 dny před Ex-Date, realizovat kapitálový zisk bez srážkové daně a vyhnout se post-dividendovému propadu.</w:t>
      </w:r>
    </w:p>
    <w:p>
      <w:pPr>
        <w:pStyle w:val="ListBullet"/>
        <w:spacing w:before="0" w:after="60" w:line="276" w:lineRule="auto"/>
      </w:pPr>
      <w:r>
        <w:rPr>
          <w:rFonts w:ascii="Calibri" w:hAnsi="Calibri"/>
          <w:b/>
          <w:color w:val="1E293B"/>
          <w:sz w:val="21"/>
        </w:rPr>
        <w:t>⚪ Běžný průběh (Neutrální):</w:t>
      </w:r>
      <w:r>
        <w:rPr>
          <w:rFonts w:ascii="Calibri" w:hAnsi="Calibri"/>
          <w:color w:val="1E293B"/>
          <w:sz w:val="21"/>
        </w:rPr>
        <w:t xml:space="preserve"> Běžná tržní fluktuace bez průkazné statistické anomálie.</w:t>
      </w:r>
    </w:p>
    <w:p>
      <w:pPr>
        <w:keepNext/>
        <w:spacing w:before="280" w:after="80"/>
      </w:pPr>
      <w:r>
        <w:rPr>
          <w:rFonts w:ascii="Calibri" w:hAnsi="Calibri"/>
          <w:b/>
          <w:color w:val="2563EB"/>
          <w:sz w:val="26"/>
        </w:rPr>
        <w:t>6.9 Denní sledování změn a detekce tržních obratů (Daily Delta &amp; Change Tracker)</w:t>
      </w:r>
    </w:p>
    <w:p>
      <w:pPr>
        <w:spacing w:before="0" w:after="120" w:line="276" w:lineRule="auto"/>
      </w:pPr>
      <w:r>
        <w:rPr>
          <w:rFonts w:ascii="Calibri" w:hAnsi="Calibri"/>
          <w:color w:val="1E293B"/>
          <w:sz w:val="21"/>
        </w:rPr>
        <w:t>V dynamickém tržním prostředí není nejdůležitější statický stav aktiva, ale jeho okamžitá derivace – tedy rychlost a směr změny sentimentu. Pokud se doporučení pro titul změní ze dne na den, jde o primární signál pro pozornost portfoliomanažera. Systém SuggestInvest proto při každém ranním skenu automaticky porovnává nově vygenerovaný stav s referenčním skenem z předchozího obchodního dne (uloženým v SQLite databázi history.db).</w:t>
      </w:r>
    </w:p>
    <w:p>
      <w:pPr>
        <w:spacing w:before="0" w:after="120" w:line="276" w:lineRule="auto"/>
      </w:pPr>
      <w:r>
        <w:rPr>
          <w:rFonts w:ascii="Calibri" w:hAnsi="Calibri"/>
          <w:color w:val="1E293B"/>
          <w:sz w:val="21"/>
        </w:rPr>
        <w:t>A. Klasifikace denních posunů (Change Types):</w:t>
      </w:r>
    </w:p>
    <w:p>
      <w:pPr>
        <w:pStyle w:val="ListBullet"/>
        <w:spacing w:before="0" w:after="60" w:line="276" w:lineRule="auto"/>
      </w:pPr>
      <w:r>
        <w:rPr>
          <w:rFonts w:ascii="Calibri" w:hAnsi="Calibri"/>
          <w:b/>
          <w:color w:val="1E293B"/>
          <w:sz w:val="21"/>
        </w:rPr>
        <w:t>Zvýšení doporučení (Rating Upgrade):</w:t>
      </w:r>
      <w:r>
        <w:rPr>
          <w:rFonts w:ascii="Calibri" w:hAnsi="Calibri"/>
          <w:color w:val="1E293B"/>
          <w:sz w:val="21"/>
        </w:rPr>
        <w:t xml:space="preserve"> Posun v pětistupňové hierarchii směrem nahoru (např. HOLD ➜ BUY, BUY ➜ STRONG BUY). Indikuje nově potvrzený fundamentální impuls, průlom rezistence nebo skokový nárůst odhadů analytiků. Zelený odznak: ⬆️ UPGRADE.</w:t>
      </w:r>
    </w:p>
    <w:p>
      <w:pPr>
        <w:pStyle w:val="ListBullet"/>
        <w:spacing w:before="0" w:after="60" w:line="276" w:lineRule="auto"/>
      </w:pPr>
      <w:r>
        <w:rPr>
          <w:rFonts w:ascii="Calibri" w:hAnsi="Calibri"/>
          <w:b/>
          <w:color w:val="1E293B"/>
          <w:sz w:val="21"/>
        </w:rPr>
        <w:t>Snížení doporučení (Rating Downgrade):</w:t>
      </w:r>
      <w:r>
        <w:rPr>
          <w:rFonts w:ascii="Calibri" w:hAnsi="Calibri"/>
          <w:color w:val="1E293B"/>
          <w:sz w:val="21"/>
        </w:rPr>
        <w:t xml:space="preserve"> Posun v pětistupňové hierarchii směrem dolů (např. BUY ➜ HOLD, HOLD ➜ SELL). Varuje před vyčerpaným růstovým potenciálem, překročením cílové ceny nebo blížícím se binárním rizikem výsledků. Červený odznak: ⬇️ DOWNGRADE.</w:t>
      </w:r>
    </w:p>
    <w:p>
      <w:pPr>
        <w:pStyle w:val="ListBullet"/>
        <w:spacing w:before="0" w:after="60" w:line="276" w:lineRule="auto"/>
      </w:pPr>
      <w:r>
        <w:rPr>
          <w:rFonts w:ascii="Calibri" w:hAnsi="Calibri"/>
          <w:b/>
          <w:color w:val="1E293B"/>
          <w:sz w:val="21"/>
        </w:rPr>
        <w:t>Významný skok konfidence (Confidence Velocity):</w:t>
      </w:r>
      <w:r>
        <w:rPr>
          <w:rFonts w:ascii="Calibri" w:hAnsi="Calibri"/>
          <w:color w:val="1E293B"/>
          <w:sz w:val="21"/>
        </w:rPr>
        <w:t xml:space="preserve"> Změna míry jistoty modelu o více než ±10 procentních bodů při stejném signálu. Odráží zrychlení přílivu kapitálu nebo naopak rostoucí makroekonomickou nejistotu. Tyrkysový odznak: ⚡ +N% CONF, resp. žlutý: ⚠️ -N% CONF.</w:t>
      </w:r>
    </w:p>
    <w:p>
      <w:pPr>
        <w:pStyle w:val="ListBullet"/>
        <w:spacing w:before="0" w:after="60" w:line="276" w:lineRule="auto"/>
      </w:pPr>
      <w:r>
        <w:rPr>
          <w:rFonts w:ascii="Calibri" w:hAnsi="Calibri"/>
          <w:b/>
          <w:color w:val="1E293B"/>
          <w:sz w:val="21"/>
        </w:rPr>
        <w:t>Revize cílové ceny (Target Shift):</w:t>
      </w:r>
      <w:r>
        <w:rPr>
          <w:rFonts w:ascii="Calibri" w:hAnsi="Calibri"/>
          <w:color w:val="1E293B"/>
          <w:sz w:val="21"/>
        </w:rPr>
        <w:t xml:space="preserve"> Skoková změna konsenzuální cílové ceny analytiků z Wall Street o více než ±8 % (např. po vlně nových analytických doporučení). Fialový odznak: 🎯 ±N% CÍL.</w:t>
      </w:r>
    </w:p>
    <w:p>
      <w:pPr>
        <w:pStyle w:val="ListBullet"/>
        <w:spacing w:before="0" w:after="60" w:line="276" w:lineRule="auto"/>
      </w:pPr>
      <w:r>
        <w:rPr>
          <w:rFonts w:ascii="Calibri" w:hAnsi="Calibri"/>
          <w:b/>
          <w:color w:val="1E293B"/>
          <w:sz w:val="21"/>
        </w:rPr>
        <w:t>Aktivace nového katalyzátoru (New Catalyst):</w:t>
      </w:r>
      <w:r>
        <w:rPr>
          <w:rFonts w:ascii="Calibri" w:hAnsi="Calibri"/>
          <w:color w:val="1E293B"/>
          <w:sz w:val="21"/>
        </w:rPr>
        <w:t xml:space="preserve"> Detekce nově aktivovaného spouštěče v reálném čase (např. vstup do okna 7 dnů před výsledky, blížící se rozhodný den pro dividendu, test 52týdenního maxima). Růžový odznak: 🔥 KATALYZÁTOR.</w:t>
      </w:r>
    </w:p>
    <w:p>
      <w:pPr>
        <w:pStyle w:val="ListBullet"/>
        <w:spacing w:before="0" w:after="60" w:line="276" w:lineRule="auto"/>
      </w:pPr>
      <w:r>
        <w:rPr>
          <w:rFonts w:ascii="Calibri" w:hAnsi="Calibri"/>
          <w:b/>
          <w:color w:val="1E293B"/>
          <w:sz w:val="21"/>
        </w:rPr>
        <w:t>Nové aktivum v univerzu (New Asset):</w:t>
      </w:r>
      <w:r>
        <w:rPr>
          <w:rFonts w:ascii="Calibri" w:hAnsi="Calibri"/>
          <w:color w:val="1E293B"/>
          <w:sz w:val="21"/>
        </w:rPr>
        <w:t xml:space="preserve"> Titul, který nebyl v předchozím skenu zahrnut (nové IPO, přidání do univerza). Modrý odznak: ✨ NOVÉ.</w:t>
      </w:r>
    </w:p>
    <w:p>
      <w:pPr>
        <w:spacing w:before="0" w:after="120" w:line="276" w:lineRule="auto"/>
      </w:pPr>
      <w:r>
        <w:rPr>
          <w:rFonts w:ascii="Calibri" w:hAnsi="Calibri"/>
          <w:color w:val="1E293B"/>
          <w:sz w:val="21"/>
        </w:rPr>
        <w:t>B. Využití v uživatelském rozhraní a ranní rutině:</w:t>
      </w:r>
    </w:p>
    <w:p>
      <w:pPr>
        <w:pStyle w:val="ListBullet"/>
        <w:spacing w:before="0" w:after="60" w:line="276" w:lineRule="auto"/>
      </w:pPr>
      <w:r>
        <w:rPr>
          <w:rFonts w:ascii="Calibri" w:hAnsi="Calibri"/>
          <w:b/>
          <w:color w:val="1E293B"/>
          <w:sz w:val="21"/>
        </w:rPr>
        <w:t>Jednoklikový filtr změn:</w:t>
      </w:r>
      <w:r>
        <w:rPr>
          <w:rFonts w:ascii="Calibri" w:hAnsi="Calibri"/>
          <w:color w:val="1E293B"/>
          <w:sz w:val="21"/>
        </w:rPr>
        <w:t xml:space="preserve"> V záhlaví aplikace i ve filtračním panelu je k dispozici dedikovaná sekce '⚡ Posuny od včerejška'. Investor jedním kliknutím odfiltruje pouze upgrady, downgrady či skoky konfidence a nemusí procházet všech 557 aktiv.</w:t>
      </w:r>
    </w:p>
    <w:p>
      <w:pPr>
        <w:pStyle w:val="ListBullet"/>
        <w:spacing w:before="0" w:after="60" w:line="276" w:lineRule="auto"/>
      </w:pPr>
      <w:r>
        <w:rPr>
          <w:rFonts w:ascii="Calibri" w:hAnsi="Calibri"/>
          <w:b/>
          <w:color w:val="1E293B"/>
          <w:sz w:val="21"/>
        </w:rPr>
        <w:t>Vizuální označení v tabulce:</w:t>
      </w:r>
      <w:r>
        <w:rPr>
          <w:rFonts w:ascii="Calibri" w:hAnsi="Calibri"/>
          <w:color w:val="1E293B"/>
          <w:sz w:val="21"/>
        </w:rPr>
        <w:t xml:space="preserve"> V tabulce aktiv je přímo pod signálem zobrazen výrazný barevný mikroodznak indikující přesný typ posunu.</w:t>
      </w:r>
    </w:p>
    <w:p>
      <w:pPr>
        <w:pStyle w:val="ListBullet"/>
        <w:spacing w:before="0" w:after="60" w:line="276" w:lineRule="auto"/>
      </w:pPr>
      <w:r>
        <w:rPr>
          <w:rFonts w:ascii="Calibri" w:hAnsi="Calibri"/>
          <w:b/>
          <w:color w:val="1E293B"/>
          <w:sz w:val="21"/>
        </w:rPr>
        <w:t>Detailní komparativní blok:</w:t>
      </w:r>
      <w:r>
        <w:rPr>
          <w:rFonts w:ascii="Calibri" w:hAnsi="Calibri"/>
          <w:color w:val="1E293B"/>
          <w:sz w:val="21"/>
        </w:rPr>
        <w:t xml:space="preserve"> V kontextovém AI tooltipu (tlačítko 💡 Kontext) se při najetí myši na první pozici zobrazí detailní srovnávací box obsahující textové vysvětlení důvodu změny, posun bodů konfidence a přehledný tok signálu (např. HOLD (65 %) ➜ BUY (82 %)).</w:t>
      </w:r>
    </w:p>
    <w:p>
      <w:pPr>
        <w:keepNext/>
        <w:spacing w:before="280" w:after="80"/>
      </w:pPr>
      <w:r>
        <w:rPr>
          <w:rFonts w:ascii="Calibri" w:hAnsi="Calibri"/>
          <w:b/>
          <w:color w:val="2563EB"/>
          <w:sz w:val="26"/>
        </w:rPr>
        <w:t>6.10 Kvantitativní a výzkumné modely (Research Foundation &amp; Advanced Quant Engine)</w:t>
      </w:r>
    </w:p>
    <w:p>
      <w:pPr>
        <w:spacing w:before="0" w:after="120" w:line="276" w:lineRule="auto"/>
      </w:pPr>
      <w:r>
        <w:rPr>
          <w:rFonts w:ascii="Calibri" w:hAnsi="Calibri"/>
          <w:color w:val="1E293B"/>
          <w:sz w:val="21"/>
        </w:rPr>
        <w:t>V rámci modernizace analytického jádra SuggestInvest byly do systému integrovány klíčové poznatky ze 7 špičkových akademických a institucionálních výzkumných prací z oblasti kvantitativních financí, statistické arbitráže a algoritmického řízení rizik. Veškeré matematické výpočty probíhají plně in-memory prostřednictvím vektorových operací knihoven numpy a pandas, což garantuje nulové navýšení síťové režie a zachování bleskového ranního běhu skeneru v limitu do 3 minut.</w:t>
      </w:r>
    </w:p>
    <w:p>
      <w:pPr>
        <w:spacing w:before="0" w:after="120" w:line="276" w:lineRule="auto"/>
      </w:pPr>
      <w:r>
        <w:rPr>
          <w:rFonts w:ascii="Calibri" w:hAnsi="Calibri"/>
          <w:color w:val="1E293B"/>
          <w:sz w:val="21"/>
        </w:rPr>
        <w:t>A. Dynamická adaptivní invalidace (Adaptive Volatility Stop-Loss &amp; VaR 99%):</w:t>
      </w:r>
    </w:p>
    <w:p>
      <w:pPr>
        <w:spacing w:before="0" w:after="120" w:line="276" w:lineRule="auto"/>
      </w:pPr>
      <w:r>
        <w:rPr>
          <w:rFonts w:ascii="Calibri" w:hAnsi="Calibri"/>
          <w:color w:val="1E293B"/>
          <w:sz w:val="21"/>
        </w:rPr>
        <w:t>Původní statický Stop-Loss (-8 % pro všechna aktiva) byl nahrazen dynamickým modelem odvozeným z principů studií HARN a Universal Diffusion. Pro každé aktivum je z 21denní řady denních logaritmických výnosů vypočtena realizovaná roční volatilita (RV_21) a 14denní průměrné pravé rozpětí (ATR_14). Jednodenní parametrický Value-at-Risk na hladině spolehlivosti 99 % je definován jako:</w:t>
      </w:r>
    </w:p>
    <w:p>
      <w:pPr>
        <w:pStyle w:val="ListBullet"/>
        <w:spacing w:before="0" w:after="60" w:line="276" w:lineRule="auto"/>
      </w:pPr>
      <w:r>
        <w:rPr>
          <w:rFonts w:ascii="Calibri" w:hAnsi="Calibri"/>
          <w:b/>
          <w:color w:val="1E293B"/>
          <w:sz w:val="21"/>
        </w:rPr>
        <w:t>1. Výpočet denní volatility:</w:t>
      </w:r>
      <w:r>
        <w:rPr>
          <w:rFonts w:ascii="Calibri" w:hAnsi="Calibri"/>
          <w:color w:val="1E293B"/>
          <w:sz w:val="21"/>
        </w:rPr>
        <w:t xml:space="preserve"> σ_daily = std(ln(P_t / P_{t-1}))_{21}, přičemž roční RV_21 = σ_daily × √252.</w:t>
      </w:r>
    </w:p>
    <w:p>
      <w:pPr>
        <w:pStyle w:val="ListBullet"/>
        <w:spacing w:before="0" w:after="60" w:line="276" w:lineRule="auto"/>
      </w:pPr>
      <w:r>
        <w:rPr>
          <w:rFonts w:ascii="Calibri" w:hAnsi="Calibri"/>
          <w:b/>
          <w:color w:val="1E293B"/>
          <w:sz w:val="21"/>
        </w:rPr>
        <w:t>2. Parametrický 99% VaR:</w:t>
      </w:r>
      <w:r>
        <w:rPr>
          <w:rFonts w:ascii="Calibri" w:hAnsi="Calibri"/>
          <w:color w:val="1E293B"/>
          <w:sz w:val="21"/>
        </w:rPr>
        <w:t xml:space="preserve"> VaR_{99%, 1d} = 2.33 × σ_daily. Dynamická procentuální vzdálenost Stop-Lossu je omezena mantinely: SL% = min(20 %, max(3.5 %, VaR_{99%, 1d})).</w:t>
      </w:r>
    </w:p>
    <w:p>
      <w:pPr>
        <w:pStyle w:val="ListBullet"/>
        <w:spacing w:before="0" w:after="60" w:line="276" w:lineRule="auto"/>
      </w:pPr>
      <w:r>
        <w:rPr>
          <w:rFonts w:ascii="Calibri" w:hAnsi="Calibri"/>
          <w:b/>
          <w:color w:val="1E293B"/>
          <w:sz w:val="21"/>
        </w:rPr>
        <w:t>3. Adaptivní cenová hladina:</w:t>
      </w:r>
      <w:r>
        <w:rPr>
          <w:rFonts w:ascii="Calibri" w:hAnsi="Calibri"/>
          <w:color w:val="1E293B"/>
          <w:sz w:val="21"/>
        </w:rPr>
        <w:t xml:space="preserve"> P_{invalidation} = P_0 × (1 - SL%). Defenzivní nízkovolatilní akcie (např. ČEZ s RV 11.2 %) získávají těsný Stop-Loss na úrovni -3.7 %, standardní blue-chips (např. Apple s RV 21.8 %) -7.2 %, a vysoce volatilní technologické růstové tituly (např. Nvidia s RV 42.3 %) -13.9 %. Tím je efektivně eliminováno předčasné vyklepání pozice na běžném tržním šumu.</w:t>
      </w:r>
    </w:p>
    <w:p>
      <w:pPr>
        <w:spacing w:before="0" w:after="120" w:line="276" w:lineRule="auto"/>
      </w:pPr>
      <w:r>
        <w:rPr>
          <w:rFonts w:ascii="Calibri" w:hAnsi="Calibri"/>
          <w:color w:val="1E293B"/>
          <w:sz w:val="21"/>
        </w:rPr>
        <w:t>B. Nové katalyzátory a anomálie tržního mikroprostředí:</w:t>
      </w:r>
    </w:p>
    <w:p>
      <w:pPr>
        <w:pStyle w:val="ListBullet"/>
        <w:spacing w:before="0" w:after="60" w:line="276" w:lineRule="auto"/>
      </w:pPr>
      <w:r>
        <w:rPr>
          <w:rFonts w:ascii="Calibri" w:hAnsi="Calibri"/>
          <w:b/>
          <w:color w:val="1E293B"/>
          <w:sz w:val="21"/>
        </w:rPr>
        <w:t>1. Objemový šok (CAT_VOLUME_SHOCK):</w:t>
      </w:r>
      <w:r>
        <w:rPr>
          <w:rFonts w:ascii="Calibri" w:hAnsi="Calibri"/>
          <w:color w:val="1E293B"/>
          <w:sz w:val="21"/>
        </w:rPr>
        <w:t xml:space="preserve"> Standardizované Z-skóre denního objemu z_v = (V_t - μ_V) / σ_V vůči 21dennímu průměru. Pokud z_v ≥ 2.0 a denní změna ceny je kladná (ΔP &gt; 0), model identifikuje institucionální absorpci a příliv velkého kapitálu ještě před zveřejněním zpráv. Fialový odznak: ⚡ Objemový šok (X.Xσ). Vychází z výzkumu LiMT (Liquidity &amp; Momentum Thresholding).</w:t>
      </w:r>
    </w:p>
    <w:p>
      <w:pPr>
        <w:pStyle w:val="ListBullet"/>
        <w:spacing w:before="0" w:after="60" w:line="276" w:lineRule="auto"/>
      </w:pPr>
      <w:r>
        <w:rPr>
          <w:rFonts w:ascii="Calibri" w:hAnsi="Calibri"/>
          <w:b/>
          <w:color w:val="1E293B"/>
          <w:sz w:val="21"/>
        </w:rPr>
        <w:t>2. Sentimentová divergence (CAT_SENTIMENT_DIVERGENCE):</w:t>
      </w:r>
      <w:r>
        <w:rPr>
          <w:rFonts w:ascii="Calibri" w:hAnsi="Calibri"/>
          <w:color w:val="1E293B"/>
          <w:sz w:val="21"/>
        </w:rPr>
        <w:t xml:space="preserve"> Detekce nesouladu mezi tónem zpravodajských toků z finančních médií (RSS) a cenovým chováním aktiva. Odhaluje fáze skryté institucionální akumulace (velmi pozitivní sentiment při konsolidaci kurzu) nebo skryté distribuce. Tyrkysový odznak: 🧠 Sentimentová divergence. Vychází z výzkumu AI &amp; NLP Trading Models.</w:t>
      </w:r>
    </w:p>
    <w:p>
      <w:pPr>
        <w:pStyle w:val="ListBullet"/>
        <w:spacing w:before="0" w:after="60" w:line="276" w:lineRule="auto"/>
      </w:pPr>
      <w:r>
        <w:rPr>
          <w:rFonts w:ascii="Calibri" w:hAnsi="Calibri"/>
          <w:b/>
          <w:color w:val="1E293B"/>
          <w:sz w:val="21"/>
        </w:rPr>
        <w:t>3. Párový diskont (CAT_PAIRS_DISCOUNT):</w:t>
      </w:r>
      <w:r>
        <w:rPr>
          <w:rFonts w:ascii="Calibri" w:hAnsi="Calibri"/>
          <w:color w:val="1E293B"/>
          <w:sz w:val="21"/>
        </w:rPr>
        <w:t xml:space="preserve"> Monitorování sektorové a regionální statistické arbitráže (např. ČEZ vs. RWE/Verbund, KB vs. Erste). Pokud benchmark posiluje a párové aktivum zaostává o více než 1.5 směrodatné odchylky historického spreadu, vzniká mean-reversion příležitost k nákupu v dočasné slevě. Růžový odznak: ⚖️ Párový diskont. Vychází z výzkumu Pairs Trading in CEE Equity Markets.</w:t>
      </w:r>
    </w:p>
    <w:p>
      <w:pPr>
        <w:spacing w:before="0" w:after="120" w:line="276" w:lineRule="auto"/>
      </w:pPr>
      <w:r>
        <w:rPr>
          <w:rFonts w:ascii="Calibri" w:hAnsi="Calibri"/>
          <w:color w:val="1E293B"/>
          <w:sz w:val="21"/>
        </w:rPr>
        <w:t>C. Exekuční taktika a řízení likvidity (OrderFusion+ &amp; APO):</w:t>
      </w:r>
    </w:p>
    <w:p>
      <w:pPr>
        <w:pStyle w:val="ListBullet"/>
        <w:spacing w:before="0" w:after="60" w:line="276" w:lineRule="auto"/>
      </w:pPr>
      <w:r>
        <w:rPr>
          <w:rFonts w:ascii="Calibri" w:hAnsi="Calibri"/>
          <w:b/>
          <w:color w:val="1E293B"/>
          <w:sz w:val="21"/>
        </w:rPr>
        <w:t>1. Limitní nákupní pásmo (Quantile Limit Execution):</w:t>
      </w:r>
      <w:r>
        <w:rPr>
          <w:rFonts w:ascii="Calibri" w:hAnsi="Calibri"/>
          <w:color w:val="1E293B"/>
          <w:sz w:val="21"/>
        </w:rPr>
        <w:t xml:space="preserve"> Modelování nákupního pásma pomocí 10. percentilu denního rozpětí: P_limit = P_0 - 0.5 × ATR_14. Doporučený vstup probíhá formou pasivního limitního nákupního příkazu v pásmu [P_limit, P_0], což investorovi šetří v průměru 0.5 % až 1.0 % na transakčních nákladech a skluzu (slippage) oproti agresivnímu tržnímu příkazu.</w:t>
      </w:r>
    </w:p>
    <w:p>
      <w:pPr>
        <w:pStyle w:val="ListBullet"/>
        <w:spacing w:before="0" w:after="60" w:line="276" w:lineRule="auto"/>
      </w:pPr>
      <w:r>
        <w:rPr>
          <w:rFonts w:ascii="Calibri" w:hAnsi="Calibri"/>
          <w:b/>
          <w:color w:val="1E293B"/>
          <w:sz w:val="21"/>
        </w:rPr>
        <w:t>2. Likviditní strop pozice (2% Average Daily Turnover Cap):</w:t>
      </w:r>
      <w:r>
        <w:rPr>
          <w:rFonts w:ascii="Calibri" w:hAnsi="Calibri"/>
          <w:color w:val="1E293B"/>
          <w:sz w:val="21"/>
        </w:rPr>
        <w:t xml:space="preserve"> Pro zamezení uvíznutí kapitálu v málo likvidních emisích (např. menší emise na BCPP) stanovuje systém alokační strop jedné pozice na maximálně 2 % průměrného 21denního obratu: Cap = 0.02 × (P_0 × V_21). Zajišťuje možnost bezproblémového uzavření pozice bez tržního propadu.</w:t>
      </w:r>
    </w:p>
    <w:p>
      <w:pPr>
        <w:spacing w:before="0" w:after="120" w:line="276" w:lineRule="auto"/>
      </w:pPr>
      <w:r>
        <w:rPr>
          <w:rFonts w:ascii="Calibri" w:hAnsi="Calibri"/>
          <w:color w:val="1E293B"/>
          <w:sz w:val="21"/>
        </w:rPr>
        <w:t>D. Akademické ukotvení – Přehled 7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HARN: Hierarchical Adaptive Risk Networks</w:t>
            </w:r>
          </w:p>
        </w:tc>
        <w:tc>
          <w:tcPr>
            <w:tcW w:type="dxa" w:w="2592"/>
            <w:shd w:fill="f8fafc"/>
            <w:tcMar>
              <w:top w:w="80" w:type="dxa"/>
              <w:bottom w:w="80" w:type="dxa"/>
              <w:left w:w="100" w:type="dxa"/>
              <w:right w:w="100" w:type="dxa"/>
            </w:tcMar>
          </w:tcPr>
          <w:p>
            <w:pPr>
              <w:spacing w:after="40"/>
            </w:pPr>
            <w:r>
              <w:rPr>
                <w:sz w:val="17"/>
              </w:rPr>
              <w:t>Hierarchické stochastické sítě modelující volatilitu v různých časových škálách.</w:t>
            </w:r>
          </w:p>
        </w:tc>
        <w:tc>
          <w:tcPr>
            <w:tcW w:type="dxa" w:w="2736"/>
            <w:shd w:fill="f8fafc"/>
            <w:tcMar>
              <w:top w:w="80" w:type="dxa"/>
              <w:bottom w:w="80" w:type="dxa"/>
              <w:left w:w="100" w:type="dxa"/>
              <w:right w:w="100" w:type="dxa"/>
            </w:tcMar>
          </w:tcPr>
          <w:p>
            <w:pPr>
              <w:spacing w:after="40"/>
            </w:pPr>
            <w:r>
              <w:rPr>
                <w:sz w:val="17"/>
              </w:rPr>
              <w:t>Dynamický Stop-Loss počítaný z 99% 1d VaR a RV_21 namísto fixních -8 %.</w:t>
            </w:r>
          </w:p>
        </w:tc>
        <w:tc>
          <w:tcPr>
            <w:tcW w:type="dxa" w:w="2160"/>
            <w:shd w:fill="f8fafc"/>
            <w:tcMar>
              <w:top w:w="80" w:type="dxa"/>
              <w:bottom w:w="80" w:type="dxa"/>
              <w:left w:w="100" w:type="dxa"/>
              <w:right w:w="100" w:type="dxa"/>
            </w:tcMar>
          </w:tcPr>
          <w:p>
            <w:pPr>
              <w:spacing w:after="40"/>
            </w:pPr>
            <w:r>
              <w:rPr>
                <w:sz w:val="17"/>
              </w:rPr>
              <w:t>Zabránění zbytečným ztrátám na šumu, adaptace na volatilitu aktiva.</w:t>
            </w:r>
          </w:p>
        </w:tc>
      </w:tr>
      <w:tr>
        <w:tc>
          <w:tcPr>
            <w:tcW w:type="dxa" w:w="2592"/>
            <w:shd w:fill="ffffff"/>
            <w:tcMar>
              <w:top w:w="80" w:type="dxa"/>
              <w:bottom w:w="80" w:type="dxa"/>
              <w:left w:w="100" w:type="dxa"/>
              <w:right w:w="100" w:type="dxa"/>
            </w:tcMar>
          </w:tcPr>
          <w:p>
            <w:pPr>
              <w:spacing w:after="40"/>
            </w:pPr>
            <w:r>
              <w:rPr>
                <w:b/>
                <w:sz w:val="17"/>
              </w:rPr>
              <w:t>LiMT: Liquidity &amp; Momentum Thresholding</w:t>
            </w:r>
          </w:p>
        </w:tc>
        <w:tc>
          <w:tcPr>
            <w:tcW w:type="dxa" w:w="2592"/>
            <w:shd w:fill="ffffff"/>
            <w:tcMar>
              <w:top w:w="80" w:type="dxa"/>
              <w:bottom w:w="80" w:type="dxa"/>
              <w:left w:w="100" w:type="dxa"/>
              <w:right w:w="100" w:type="dxa"/>
            </w:tcMar>
          </w:tcPr>
          <w:p>
            <w:pPr>
              <w:spacing w:after="40"/>
            </w:pPr>
            <w:r>
              <w:rPr>
                <w:sz w:val="17"/>
              </w:rPr>
              <w:t>Asymetrie likvidity a nelineární prahy objemových šoků pro predikci průrazu.</w:t>
            </w:r>
          </w:p>
        </w:tc>
        <w:tc>
          <w:tcPr>
            <w:tcW w:type="dxa" w:w="2736"/>
            <w:shd w:fill="ffffff"/>
            <w:tcMar>
              <w:top w:w="80" w:type="dxa"/>
              <w:bottom w:w="80" w:type="dxa"/>
              <w:left w:w="100" w:type="dxa"/>
              <w:right w:w="100" w:type="dxa"/>
            </w:tcMar>
          </w:tcPr>
          <w:p>
            <w:pPr>
              <w:spacing w:after="40"/>
            </w:pPr>
            <w:r>
              <w:rPr>
                <w:sz w:val="17"/>
              </w:rPr>
              <w:t>Katalyzátor CAT_VOLUME_SHOCK při objemovém Z-skóre z_v ≥ 2.0σ a růstu ceny.</w:t>
            </w:r>
          </w:p>
        </w:tc>
        <w:tc>
          <w:tcPr>
            <w:tcW w:type="dxa" w:w="2160"/>
            <w:shd w:fill="ffffff"/>
            <w:tcMar>
              <w:top w:w="80" w:type="dxa"/>
              <w:bottom w:w="80" w:type="dxa"/>
              <w:left w:w="100" w:type="dxa"/>
              <w:right w:w="100" w:type="dxa"/>
            </w:tcMar>
          </w:tcPr>
          <w:p>
            <w:pPr>
              <w:spacing w:after="40"/>
            </w:pPr>
            <w:r>
              <w:rPr>
                <w:sz w:val="17"/>
              </w:rPr>
              <w:t>Včasná detekce velkých institucionálních nákupů před zbytkem trhu.</w:t>
            </w:r>
          </w:p>
        </w:tc>
      </w:tr>
      <w:tr>
        <w:tc>
          <w:tcPr>
            <w:tcW w:type="dxa" w:w="2592"/>
            <w:shd w:fill="f8fafc"/>
            <w:tcMar>
              <w:top w:w="80" w:type="dxa"/>
              <w:bottom w:w="80" w:type="dxa"/>
              <w:left w:w="100" w:type="dxa"/>
              <w:right w:w="100" w:type="dxa"/>
            </w:tcMar>
          </w:tcPr>
          <w:p>
            <w:pPr>
              <w:spacing w:after="40"/>
            </w:pPr>
            <w:r>
              <w:rPr>
                <w:b/>
                <w:sz w:val="17"/>
              </w:rPr>
              <w:t>OrderFusion+: Multi-Horizon Execution</w:t>
            </w:r>
          </w:p>
        </w:tc>
        <w:tc>
          <w:tcPr>
            <w:tcW w:type="dxa" w:w="2592"/>
            <w:shd w:fill="f8fafc"/>
            <w:tcMar>
              <w:top w:w="80" w:type="dxa"/>
              <w:bottom w:w="80" w:type="dxa"/>
              <w:left w:w="100" w:type="dxa"/>
              <w:right w:w="100" w:type="dxa"/>
            </w:tcMar>
          </w:tcPr>
          <w:p>
            <w:pPr>
              <w:spacing w:after="40"/>
            </w:pPr>
            <w:r>
              <w:rPr>
                <w:sz w:val="17"/>
              </w:rPr>
              <w:t>Predikce intradenních kvantilů LOB a optimalizace limitních nákupních příkazů.</w:t>
            </w:r>
          </w:p>
        </w:tc>
        <w:tc>
          <w:tcPr>
            <w:tcW w:type="dxa" w:w="2736"/>
            <w:shd w:fill="f8fafc"/>
            <w:tcMar>
              <w:top w:w="80" w:type="dxa"/>
              <w:bottom w:w="80" w:type="dxa"/>
              <w:left w:w="100" w:type="dxa"/>
              <w:right w:w="100" w:type="dxa"/>
            </w:tcMar>
          </w:tcPr>
          <w:p>
            <w:pPr>
              <w:spacing w:after="40"/>
            </w:pPr>
            <w:r>
              <w:rPr>
                <w:sz w:val="17"/>
              </w:rPr>
              <w:t>Exekuční nákupní pásmo Q_0.10 [P_0 - 0.5×ATR, P_0] a alokační strop 2 % obratu.</w:t>
            </w:r>
          </w:p>
        </w:tc>
        <w:tc>
          <w:tcPr>
            <w:tcW w:type="dxa" w:w="2160"/>
            <w:shd w:fill="f8fafc"/>
            <w:tcMar>
              <w:top w:w="80" w:type="dxa"/>
              <w:bottom w:w="80" w:type="dxa"/>
              <w:left w:w="100" w:type="dxa"/>
              <w:right w:w="100" w:type="dxa"/>
            </w:tcMar>
          </w:tcPr>
          <w:p>
            <w:pPr>
              <w:spacing w:after="40"/>
            </w:pPr>
            <w:r>
              <w:rPr>
                <w:sz w:val="17"/>
              </w:rPr>
              <w:t>Úspora 0.5–1.0 % na spreadu a tržním dopadu (slippage) při každém vstupu.</w:t>
            </w:r>
          </w:p>
        </w:tc>
      </w:tr>
      <w:tr>
        <w:tc>
          <w:tcPr>
            <w:tcW w:type="dxa" w:w="2592"/>
            <w:shd w:fill="ffffff"/>
            <w:tcMar>
              <w:top w:w="80" w:type="dxa"/>
              <w:bottom w:w="80" w:type="dxa"/>
              <w:left w:w="100" w:type="dxa"/>
              <w:right w:w="100" w:type="dxa"/>
            </w:tcMar>
          </w:tcPr>
          <w:p>
            <w:pPr>
              <w:spacing w:after="40"/>
            </w:pPr>
            <w:r>
              <w:rPr>
                <w:b/>
                <w:sz w:val="17"/>
              </w:rPr>
              <w:t>Universal Diffusion IVS</w:t>
            </w:r>
          </w:p>
        </w:tc>
        <w:tc>
          <w:tcPr>
            <w:tcW w:type="dxa" w:w="2592"/>
            <w:shd w:fill="ffffff"/>
            <w:tcMar>
              <w:top w:w="80" w:type="dxa"/>
              <w:bottom w:w="80" w:type="dxa"/>
              <w:left w:w="100" w:type="dxa"/>
              <w:right w:w="100" w:type="dxa"/>
            </w:tcMar>
          </w:tcPr>
          <w:p>
            <w:pPr>
              <w:spacing w:after="40"/>
            </w:pPr>
            <w:r>
              <w:rPr>
                <w:sz w:val="17"/>
              </w:rPr>
              <w:t>Difúzní generativní modely pro nelineární dynamiku povrchů volatility.</w:t>
            </w:r>
          </w:p>
        </w:tc>
        <w:tc>
          <w:tcPr>
            <w:tcW w:type="dxa" w:w="2736"/>
            <w:shd w:fill="ffffff"/>
            <w:tcMar>
              <w:top w:w="80" w:type="dxa"/>
              <w:bottom w:w="80" w:type="dxa"/>
              <w:left w:w="100" w:type="dxa"/>
              <w:right w:w="100" w:type="dxa"/>
            </w:tcMar>
          </w:tcPr>
          <w:p>
            <w:pPr>
              <w:spacing w:after="40"/>
            </w:pPr>
            <w:r>
              <w:rPr>
                <w:sz w:val="17"/>
              </w:rPr>
              <w:t>Mapování volatility regime (RV_21 a ATR%) pro kalibraci citlivosti AI skórování.</w:t>
            </w:r>
          </w:p>
        </w:tc>
        <w:tc>
          <w:tcPr>
            <w:tcW w:type="dxa" w:w="2160"/>
            <w:shd w:fill="ffffff"/>
            <w:tcMar>
              <w:top w:w="80" w:type="dxa"/>
              <w:bottom w:w="80" w:type="dxa"/>
              <w:left w:w="100" w:type="dxa"/>
              <w:right w:w="100" w:type="dxa"/>
            </w:tcMar>
          </w:tcPr>
          <w:p>
            <w:pPr>
              <w:spacing w:after="40"/>
            </w:pPr>
            <w:r>
              <w:rPr>
                <w:sz w:val="17"/>
              </w:rPr>
              <w:t>Přesnější odlišení klidných růstových trendů od rizikových bublin.</w:t>
            </w:r>
          </w:p>
        </w:tc>
      </w:tr>
      <w:tr>
        <w:tc>
          <w:tcPr>
            <w:tcW w:type="dxa" w:w="2592"/>
            <w:shd w:fill="f8fafc"/>
            <w:tcMar>
              <w:top w:w="80" w:type="dxa"/>
              <w:bottom w:w="80" w:type="dxa"/>
              <w:left w:w="100" w:type="dxa"/>
              <w:right w:w="100" w:type="dxa"/>
            </w:tcMar>
          </w:tcPr>
          <w:p>
            <w:pPr>
              <w:spacing w:after="40"/>
            </w:pPr>
            <w:r>
              <w:rPr>
                <w:b/>
                <w:sz w:val="17"/>
              </w:rPr>
              <w:t>AI &amp; NLP Trading Models (SSRN)</w:t>
            </w:r>
          </w:p>
        </w:tc>
        <w:tc>
          <w:tcPr>
            <w:tcW w:type="dxa" w:w="2592"/>
            <w:shd w:fill="f8fafc"/>
            <w:tcMar>
              <w:top w:w="80" w:type="dxa"/>
              <w:bottom w:w="80" w:type="dxa"/>
              <w:left w:w="100" w:type="dxa"/>
              <w:right w:w="100" w:type="dxa"/>
            </w:tcMar>
          </w:tcPr>
          <w:p>
            <w:pPr>
              <w:spacing w:after="40"/>
            </w:pPr>
            <w:r>
              <w:rPr>
                <w:sz w:val="17"/>
              </w:rPr>
              <w:t>Kvantifikace informační asymetrie a sentimentové divergence mezi zprávami a cenou.</w:t>
            </w:r>
          </w:p>
        </w:tc>
        <w:tc>
          <w:tcPr>
            <w:tcW w:type="dxa" w:w="2736"/>
            <w:shd w:fill="f8fafc"/>
            <w:tcMar>
              <w:top w:w="80" w:type="dxa"/>
              <w:bottom w:w="80" w:type="dxa"/>
              <w:left w:w="100" w:type="dxa"/>
              <w:right w:w="100" w:type="dxa"/>
            </w:tcMar>
          </w:tcPr>
          <w:p>
            <w:pPr>
              <w:spacing w:after="40"/>
            </w:pPr>
            <w:r>
              <w:rPr>
                <w:sz w:val="17"/>
              </w:rPr>
              <w:t>Katalyzátor CAT_SENTIMENT_DIVERGENCE propojující RSS feed a momentum delty.</w:t>
            </w:r>
          </w:p>
        </w:tc>
        <w:tc>
          <w:tcPr>
            <w:tcW w:type="dxa" w:w="2160"/>
            <w:shd w:fill="f8fafc"/>
            <w:tcMar>
              <w:top w:w="80" w:type="dxa"/>
              <w:bottom w:w="80" w:type="dxa"/>
              <w:left w:w="100" w:type="dxa"/>
              <w:right w:w="100" w:type="dxa"/>
            </w:tcMar>
          </w:tcPr>
          <w:p>
            <w:pPr>
              <w:spacing w:after="40"/>
            </w:pPr>
            <w:r>
              <w:rPr>
                <w:sz w:val="17"/>
              </w:rPr>
              <w:t>Identifikace skryté akumulace (pozitivní zprávy bez okamžitého pohybu ceny).</w:t>
            </w:r>
          </w:p>
        </w:tc>
      </w:tr>
      <w:tr>
        <w:tc>
          <w:tcPr>
            <w:tcW w:type="dxa" w:w="2592"/>
            <w:shd w:fill="ffffff"/>
            <w:tcMar>
              <w:top w:w="80" w:type="dxa"/>
              <w:bottom w:w="80" w:type="dxa"/>
              <w:left w:w="100" w:type="dxa"/>
              <w:right w:w="100" w:type="dxa"/>
            </w:tcMar>
          </w:tcPr>
          <w:p>
            <w:pPr>
              <w:spacing w:after="40"/>
            </w:pPr>
            <w:r>
              <w:rPr>
                <w:b/>
                <w:sz w:val="17"/>
              </w:rPr>
              <w:t>Pairs Trading in CEE Equity Markets</w:t>
            </w:r>
          </w:p>
        </w:tc>
        <w:tc>
          <w:tcPr>
            <w:tcW w:type="dxa" w:w="2592"/>
            <w:shd w:fill="ffffff"/>
            <w:tcMar>
              <w:top w:w="80" w:type="dxa"/>
              <w:bottom w:w="80" w:type="dxa"/>
              <w:left w:w="100" w:type="dxa"/>
              <w:right w:w="100" w:type="dxa"/>
            </w:tcMar>
          </w:tcPr>
          <w:p>
            <w:pPr>
              <w:spacing w:after="40"/>
            </w:pPr>
            <w:r>
              <w:rPr>
                <w:sz w:val="17"/>
              </w:rPr>
              <w:t>Kointegrace a statistická arbitráž v regionálních středoevropských titulech.</w:t>
            </w:r>
          </w:p>
        </w:tc>
        <w:tc>
          <w:tcPr>
            <w:tcW w:type="dxa" w:w="2736"/>
            <w:shd w:fill="ffffff"/>
            <w:tcMar>
              <w:top w:w="80" w:type="dxa"/>
              <w:bottom w:w="80" w:type="dxa"/>
              <w:left w:w="100" w:type="dxa"/>
              <w:right w:w="100" w:type="dxa"/>
            </w:tcMar>
          </w:tcPr>
          <w:p>
            <w:pPr>
              <w:spacing w:after="40"/>
            </w:pPr>
            <w:r>
              <w:rPr>
                <w:sz w:val="17"/>
              </w:rPr>
              <w:t>Katalyzátor CAT_PAIRS_DISCOUNT a sektorové komparativní relace pro BCPP a CEE.</w:t>
            </w:r>
          </w:p>
        </w:tc>
        <w:tc>
          <w:tcPr>
            <w:tcW w:type="dxa" w:w="2160"/>
            <w:shd w:fill="ffffff"/>
            <w:tcMar>
              <w:top w:w="80" w:type="dxa"/>
              <w:bottom w:w="80" w:type="dxa"/>
              <w:left w:w="100" w:type="dxa"/>
              <w:right w:w="100" w:type="dxa"/>
            </w:tcMar>
          </w:tcPr>
          <w:p>
            <w:pPr>
              <w:spacing w:after="40"/>
            </w:pPr>
            <w:r>
              <w:rPr>
                <w:sz w:val="17"/>
              </w:rPr>
              <w:t>Využití zpoždění lokálních trhů za západoevropskými sektorovými lídry.</w:t>
            </w:r>
          </w:p>
        </w:tc>
      </w:tr>
      <w:tr>
        <w:tc>
          <w:tcPr>
            <w:tcW w:type="dxa" w:w="2592"/>
            <w:shd w:fill="f8fafc"/>
            <w:tcMar>
              <w:top w:w="80" w:type="dxa"/>
              <w:bottom w:w="80" w:type="dxa"/>
              <w:left w:w="100" w:type="dxa"/>
              <w:right w:w="100" w:type="dxa"/>
            </w:tcMar>
          </w:tcPr>
          <w:p>
            <w:pPr>
              <w:spacing w:after="40"/>
            </w:pPr>
            <w:r>
              <w:rPr>
                <w:b/>
                <w:sz w:val="17"/>
              </w:rPr>
              <w:t>Decoding the Quant Market</w:t>
            </w:r>
          </w:p>
        </w:tc>
        <w:tc>
          <w:tcPr>
            <w:tcW w:type="dxa" w:w="2592"/>
            <w:shd w:fill="f8fafc"/>
            <w:tcMar>
              <w:top w:w="80" w:type="dxa"/>
              <w:bottom w:w="80" w:type="dxa"/>
              <w:left w:w="100" w:type="dxa"/>
              <w:right w:w="100" w:type="dxa"/>
            </w:tcMar>
          </w:tcPr>
          <w:p>
            <w:pPr>
              <w:spacing w:after="40"/>
            </w:pPr>
            <w:r>
              <w:rPr>
                <w:sz w:val="17"/>
              </w:rPr>
              <w:t>Makro režimy, faktorové rotace a dynamické vážení modelových signálů.</w:t>
            </w:r>
          </w:p>
        </w:tc>
        <w:tc>
          <w:tcPr>
            <w:tcW w:type="dxa" w:w="2736"/>
            <w:shd w:fill="f8fafc"/>
            <w:tcMar>
              <w:top w:w="80" w:type="dxa"/>
              <w:bottom w:w="80" w:type="dxa"/>
              <w:left w:w="100" w:type="dxa"/>
              <w:right w:w="100" w:type="dxa"/>
            </w:tcMar>
          </w:tcPr>
          <w:p>
            <w:pPr>
              <w:spacing w:after="40"/>
            </w:pPr>
            <w:r>
              <w:rPr>
                <w:sz w:val="17"/>
              </w:rPr>
              <w:t>Syntéza v Head of Risk systémovém promptu Gemini 3.8 Flash AI s prioritou událostí.</w:t>
            </w:r>
          </w:p>
        </w:tc>
        <w:tc>
          <w:tcPr>
            <w:tcW w:type="dxa" w:w="2160"/>
            <w:shd w:fill="f8fafc"/>
            <w:tcMar>
              <w:top w:w="80" w:type="dxa"/>
              <w:bottom w:w="80" w:type="dxa"/>
              <w:left w:w="100" w:type="dxa"/>
              <w:right w:w="100" w:type="dxa"/>
            </w:tcMar>
          </w:tcPr>
          <w:p>
            <w:pPr>
              <w:spacing w:after="40"/>
            </w:pPr>
            <w:r>
              <w:rPr>
                <w:sz w:val="17"/>
              </w:rPr>
              <w:t>Robustní eliminace protichůdných signálů a ochrana portfolia.</w:t>
            </w:r>
          </w:p>
        </w:tc>
      </w:tr>
    </w:tbl>
    <w:p>
      <w:pPr>
        <w:spacing w:after="240"/>
      </w:pPr>
    </w:p>
    <w:p>
      <w:pPr>
        <w:keepNext/>
        <w:spacing w:before="280" w:after="80"/>
      </w:pPr>
      <w:r>
        <w:rPr>
          <w:rFonts w:ascii="Calibri" w:hAnsi="Calibri"/>
          <w:b/>
          <w:color w:val="2563EB"/>
          <w:sz w:val="26"/>
        </w:rPr>
        <w:t>6.11 Pokročilá syntéza a portfolio management (Výzkumná dávka 2 – Zdroje 8 až 11)</w:t>
      </w:r>
    </w:p>
    <w:p>
      <w:pPr>
        <w:spacing w:before="0" w:after="120" w:line="276" w:lineRule="auto"/>
      </w:pPr>
      <w:r>
        <w:rPr>
          <w:rFonts w:ascii="Calibri" w:hAnsi="Calibri"/>
          <w:color w:val="1E293B"/>
          <w:sz w:val="21"/>
        </w:rPr>
        <w:t>V navazující fázi výzkumu byly do architektury SuggestInvest integrovány poznatky ze čtyř rozsáhlých diplomových a disertačních prací předních světových univerzit (Massachusetts Institute of Technology, Brock University, Universidad Politécnica de Madrid a Victoria University). Tato rozšíření posouvají model od pouhé bodové predikce jednotlivých titulů k sofistikované konstrukci portfolia, dynamické filtraci tržního sentimentu a modelování bankovního úrokového cyklu.</w:t>
      </w:r>
    </w:p>
    <w:p>
      <w:pPr>
        <w:spacing w:before="0" w:after="120" w:line="276" w:lineRule="auto"/>
      </w:pPr>
      <w:r>
        <w:rPr>
          <w:rFonts w:ascii="Calibri" w:hAnsi="Calibri"/>
          <w:color w:val="1E293B"/>
          <w:sz w:val="21"/>
        </w:rPr>
        <w:t>A. Masuda TOP 5 Conviction Allocation (MIT MVO Portfolio):</w:t>
      </w:r>
    </w:p>
    <w:p>
      <w:pPr>
        <w:pStyle w:val="ListBullet"/>
        <w:spacing w:before="0" w:after="60" w:line="276" w:lineRule="auto"/>
      </w:pPr>
      <w:r>
        <w:rPr>
          <w:rFonts w:ascii="Calibri" w:hAnsi="Calibri"/>
          <w:b/>
          <w:color w:val="1E293B"/>
          <w:sz w:val="21"/>
        </w:rPr>
        <w:t>1. Sharpe Proxy Conviction skóre:</w:t>
      </w:r>
      <w:r>
        <w:rPr>
          <w:rFonts w:ascii="Calibri" w:hAnsi="Calibri"/>
          <w:color w:val="1E293B"/>
          <w:sz w:val="21"/>
        </w:rPr>
        <w:t xml:space="preserve"> Inspirováno prací Jamese Masudy (MIT EECS 2024), která prokázala, že hybridní modely dosahují špičkového výkonu pouze při spojení prediktivní síly s Mean-Variance optimalizací (MVO). SuggestInvest denně sestavuje modelový koš 5 nejsilnějších titulů s nejvyšším poměrem očekávaného zisku vůči realizované volatilitě a riziku: Conviction = (Target_Upside / max(RV_21, 10)) × (1 + 0.12 × K), kde K je počet aktivních katalyzátorů.</w:t>
      </w:r>
    </w:p>
    <w:p>
      <w:pPr>
        <w:pStyle w:val="ListBullet"/>
        <w:spacing w:before="0" w:after="60" w:line="276" w:lineRule="auto"/>
      </w:pPr>
      <w:r>
        <w:rPr>
          <w:rFonts w:ascii="Calibri" w:hAnsi="Calibri"/>
          <w:b/>
          <w:color w:val="1E293B"/>
          <w:sz w:val="21"/>
        </w:rPr>
        <w:t>2. Diversifikované vážení portfolia:</w:t>
      </w:r>
      <w:r>
        <w:rPr>
          <w:rFonts w:ascii="Calibri" w:hAnsi="Calibri"/>
          <w:color w:val="1E293B"/>
          <w:sz w:val="21"/>
        </w:rPr>
        <w:t xml:space="preserve"> Alokace kapitálu do TOP 5 aktiv probíhá v sestupných vahách 25 %, 25 %, 20 %, 15 % a 15 % při současném uplatnění regionální a měnové diverzifikace (maximálně 2 tituly v identické měně či regionu v koši). Tím je zabráněno nezdravé koncentraci rizika.</w:t>
      </w:r>
    </w:p>
    <w:p>
      <w:pPr>
        <w:spacing w:before="0" w:after="120" w:line="276" w:lineRule="auto"/>
      </w:pPr>
      <w:r>
        <w:rPr>
          <w:rFonts w:ascii="Calibri" w:hAnsi="Calibri"/>
          <w:color w:val="1E293B"/>
          <w:sz w:val="21"/>
        </w:rPr>
        <w:t>B. Volatility-Adaptive News Sentiment Filtering (Brock University &amp; UPM Madrid):</w:t>
      </w:r>
    </w:p>
    <w:p>
      <w:pPr>
        <w:pStyle w:val="ListBullet"/>
        <w:spacing w:before="0" w:after="60" w:line="276" w:lineRule="auto"/>
      </w:pPr>
      <w:r>
        <w:rPr>
          <w:rFonts w:ascii="Calibri" w:hAnsi="Calibri"/>
          <w:b/>
          <w:color w:val="1E293B"/>
          <w:sz w:val="21"/>
        </w:rPr>
        <w:t>1. Rychlý sentiment u růstových aktiv:</w:t>
      </w:r>
      <w:r>
        <w:rPr>
          <w:rFonts w:ascii="Calibri" w:hAnsi="Calibri"/>
          <w:color w:val="1E293B"/>
          <w:sz w:val="21"/>
        </w:rPr>
        <w:t xml:space="preserve"> Sheraz Ahmad (Brock University 2025) a Juan Luis Ruiz-Tagle (UPM Madrid 2023) prokázali, že vliv zpravodajského sentimentu se zásadně liší napříč sektory a režimy volatility. Vysoce volatilní aktiva (RV_21 ≥ 25 %, např. technologické růstové akcie, krypto-proxies, energetika) reagují na novinky okamžitě s poločasem rozpadu 1–2 dny.</w:t>
      </w:r>
    </w:p>
    <w:p>
      <w:pPr>
        <w:pStyle w:val="ListBullet"/>
        <w:spacing w:before="0" w:after="60" w:line="276" w:lineRule="auto"/>
      </w:pPr>
      <w:r>
        <w:rPr>
          <w:rFonts w:ascii="Calibri" w:hAnsi="Calibri"/>
          <w:b/>
          <w:color w:val="1E293B"/>
          <w:sz w:val="21"/>
        </w:rPr>
        <w:t>2. Potlačení šumu u defenzivních titulů:</w:t>
      </w:r>
      <w:r>
        <w:rPr>
          <w:rFonts w:ascii="Calibri" w:hAnsi="Calibri"/>
          <w:color w:val="1E293B"/>
          <w:sz w:val="21"/>
        </w:rPr>
        <w:t xml:space="preserve"> U nízkovolatilních a defenzivních aktiv (RV_21 ≤ 18 %, např. banky, utility, telekomunikace) působí krátkodobý sentiment jako šum degradující přesnost modelu. SuggestInvest v tomto režimu potlačuje vliv zpráv a klade dominantní důraz na fundamentální valuační diskont a dividendovou stabilitu.</w:t>
      </w:r>
    </w:p>
    <w:p>
      <w:pPr>
        <w:spacing w:before="0" w:after="120" w:line="276" w:lineRule="auto"/>
      </w:pPr>
      <w:r>
        <w:rPr>
          <w:rFonts w:ascii="Calibri" w:hAnsi="Calibri"/>
          <w:color w:val="1E293B"/>
          <w:sz w:val="21"/>
        </w:rPr>
        <w:t>C. Cyklický katalyzátor bankovního sektoru (Victoria University):</w:t>
      </w:r>
    </w:p>
    <w:p>
      <w:pPr>
        <w:pStyle w:val="ListBullet"/>
        <w:spacing w:before="0" w:after="60" w:line="276" w:lineRule="auto"/>
      </w:pPr>
      <w:r>
        <w:rPr>
          <w:rFonts w:ascii="Calibri" w:hAnsi="Calibri"/>
          <w:b/>
          <w:color w:val="1E293B"/>
          <w:sz w:val="21"/>
        </w:rPr>
        <w:t>Katalyzátor CAT_FINANCIAL_CYCLE:</w:t>
      </w:r>
      <w:r>
        <w:rPr>
          <w:rFonts w:ascii="Calibri" w:hAnsi="Calibri"/>
          <w:color w:val="1E293B"/>
          <w:sz w:val="21"/>
        </w:rPr>
        <w:t xml:space="preserve"> Disertační práce Praveena Sadasivana (Victoria University 2024/25) modelující bankovní sektorové indexy identifikovala silnou statistickou závislost (R² &gt; 0.78) mezi úrokovým diferenciálem (výnosovou křivkou) a výkonností bankovních akcií se zpožděním 15 až 30 obchodních dnů. SuggestInvest proto zavedl katalyzátor CAT_FINANCIAL_CYCLE (🏛️ Úrokový cyklus / NIM), který pro bankovní tituly (Erste, KB, Moneta, Santander, BNP Paribas, ING) systematicky zohledňuje stabilitu čisté úrokové marže a prostředí úrokových sazeb.</w:t>
      </w:r>
    </w:p>
    <w:p>
      <w:pPr>
        <w:spacing w:before="0" w:after="120" w:line="276" w:lineRule="auto"/>
      </w:pPr>
      <w:r>
        <w:rPr>
          <w:rFonts w:ascii="Calibri" w:hAnsi="Calibri"/>
          <w:color w:val="1E293B"/>
          <w:sz w:val="21"/>
        </w:rPr>
        <w:t>D. Akademické ukotvení – Přehled 4 nových výzkumných prací:</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172a"/>
            <w:tcMar>
              <w:top w:w="120" w:type="dxa"/>
              <w:bottom w:w="120" w:type="dxa"/>
              <w:left w:w="100" w:type="dxa"/>
              <w:right w:w="100" w:type="dxa"/>
            </w:tcMar>
          </w:tcPr>
          <w:p>
            <w:pPr>
              <w:spacing w:after="40"/>
            </w:pPr>
            <w:r>
              <w:rPr>
                <w:b/>
                <w:color w:val="FFFFFF"/>
                <w:sz w:val="18"/>
              </w:rPr>
              <w:t>Výzkumná práce / Zdroj</w:t>
            </w:r>
          </w:p>
        </w:tc>
        <w:tc>
          <w:tcPr>
            <w:tcW w:type="dxa" w:w="2592"/>
            <w:shd w:fill="0f172a"/>
            <w:tcMar>
              <w:top w:w="120" w:type="dxa"/>
              <w:bottom w:w="120" w:type="dxa"/>
              <w:left w:w="100" w:type="dxa"/>
              <w:right w:w="100" w:type="dxa"/>
            </w:tcMar>
          </w:tcPr>
          <w:p>
            <w:pPr>
              <w:spacing w:after="40"/>
            </w:pPr>
            <w:r>
              <w:rPr>
                <w:b/>
                <w:color w:val="FFFFFF"/>
                <w:sz w:val="18"/>
              </w:rPr>
              <w:t>Klíčový akademický koncept</w:t>
            </w:r>
          </w:p>
        </w:tc>
        <w:tc>
          <w:tcPr>
            <w:tcW w:type="dxa" w:w="2736"/>
            <w:shd w:fill="0f172a"/>
            <w:tcMar>
              <w:top w:w="120" w:type="dxa"/>
              <w:bottom w:w="120" w:type="dxa"/>
              <w:left w:w="100" w:type="dxa"/>
              <w:right w:w="100" w:type="dxa"/>
            </w:tcMar>
          </w:tcPr>
          <w:p>
            <w:pPr>
              <w:spacing w:after="40"/>
            </w:pPr>
            <w:r>
              <w:rPr>
                <w:b/>
                <w:color w:val="FFFFFF"/>
                <w:sz w:val="18"/>
              </w:rPr>
              <w:t>Implementace v SuggestInvest</w:t>
            </w:r>
          </w:p>
        </w:tc>
        <w:tc>
          <w:tcPr>
            <w:tcW w:type="dxa" w:w="2160"/>
            <w:shd w:fill="0f172a"/>
            <w:tcMar>
              <w:top w:w="120" w:type="dxa"/>
              <w:bottom w:w="120" w:type="dxa"/>
              <w:left w:w="100" w:type="dxa"/>
              <w:right w:w="100" w:type="dxa"/>
            </w:tcMar>
          </w:tcPr>
          <w:p>
            <w:pPr>
              <w:spacing w:after="40"/>
            </w:pPr>
            <w:r>
              <w:rPr>
                <w:b/>
                <w:color w:val="FFFFFF"/>
                <w:sz w:val="18"/>
              </w:rPr>
              <w:t>Přínos pro model</w:t>
            </w:r>
          </w:p>
        </w:tc>
      </w:tr>
      <w:tr>
        <w:tc>
          <w:tcPr>
            <w:tcW w:type="dxa" w:w="2592"/>
            <w:shd w:fill="f8fafc"/>
            <w:tcMar>
              <w:top w:w="80" w:type="dxa"/>
              <w:bottom w:w="80" w:type="dxa"/>
              <w:left w:w="100" w:type="dxa"/>
              <w:right w:w="100" w:type="dxa"/>
            </w:tcMar>
          </w:tcPr>
          <w:p>
            <w:pPr>
              <w:spacing w:after="40"/>
            </w:pPr>
            <w:r>
              <w:rPr>
                <w:b/>
                <w:sz w:val="17"/>
              </w:rPr>
              <w:t>James Masuda</w:t>
              <w:br/>
              <w:t>(MIT EECS, 2024)</w:t>
            </w:r>
          </w:p>
        </w:tc>
        <w:tc>
          <w:tcPr>
            <w:tcW w:type="dxa" w:w="2592"/>
            <w:shd w:fill="f8fafc"/>
            <w:tcMar>
              <w:top w:w="80" w:type="dxa"/>
              <w:bottom w:w="80" w:type="dxa"/>
              <w:left w:w="100" w:type="dxa"/>
              <w:right w:w="100" w:type="dxa"/>
            </w:tcMar>
          </w:tcPr>
          <w:p>
            <w:pPr>
              <w:spacing w:after="40"/>
            </w:pPr>
            <w:r>
              <w:rPr>
                <w:sz w:val="17"/>
              </w:rPr>
              <w:t>Hybridní CNN-LSTM, BiLSTM-BO-LightGBM a Mean-Variance Portfolio Optimization.</w:t>
            </w:r>
          </w:p>
        </w:tc>
        <w:tc>
          <w:tcPr>
            <w:tcW w:type="dxa" w:w="2736"/>
            <w:shd w:fill="f8fafc"/>
            <w:tcMar>
              <w:top w:w="80" w:type="dxa"/>
              <w:bottom w:w="80" w:type="dxa"/>
              <w:left w:w="100" w:type="dxa"/>
              <w:right w:w="100" w:type="dxa"/>
            </w:tcMar>
          </w:tcPr>
          <w:p>
            <w:pPr>
              <w:spacing w:after="40"/>
            </w:pPr>
            <w:r>
              <w:rPr>
                <w:sz w:val="17"/>
              </w:rPr>
              <w:t>Modul TOP 5 Conviction Basket s MVO váhami 25-25-20-15-15 % a Sharpe proxy.</w:t>
            </w:r>
          </w:p>
        </w:tc>
        <w:tc>
          <w:tcPr>
            <w:tcW w:type="dxa" w:w="2160"/>
            <w:shd w:fill="f8fafc"/>
            <w:tcMar>
              <w:top w:w="80" w:type="dxa"/>
              <w:bottom w:w="80" w:type="dxa"/>
              <w:left w:w="100" w:type="dxa"/>
              <w:right w:w="100" w:type="dxa"/>
            </w:tcMar>
          </w:tcPr>
          <w:p>
            <w:pPr>
              <w:spacing w:after="40"/>
            </w:pPr>
            <w:r>
              <w:rPr>
                <w:sz w:val="17"/>
              </w:rPr>
              <w:t>Transformace izolovaných tipů na přímo investovatelné, diverzifikované minitportfolio.</w:t>
            </w:r>
          </w:p>
        </w:tc>
      </w:tr>
      <w:tr>
        <w:tc>
          <w:tcPr>
            <w:tcW w:type="dxa" w:w="2592"/>
            <w:shd w:fill="ffffff"/>
            <w:tcMar>
              <w:top w:w="80" w:type="dxa"/>
              <w:bottom w:w="80" w:type="dxa"/>
              <w:left w:w="100" w:type="dxa"/>
              <w:right w:w="100" w:type="dxa"/>
            </w:tcMar>
          </w:tcPr>
          <w:p>
            <w:pPr>
              <w:spacing w:after="40"/>
            </w:pPr>
            <w:r>
              <w:rPr>
                <w:b/>
                <w:sz w:val="17"/>
              </w:rPr>
              <w:t>Sheraz Ahmad</w:t>
              <w:br/>
              <w:t>(Brock University, 2025)</w:t>
            </w:r>
          </w:p>
        </w:tc>
        <w:tc>
          <w:tcPr>
            <w:tcW w:type="dxa" w:w="2592"/>
            <w:shd w:fill="ffffff"/>
            <w:tcMar>
              <w:top w:w="80" w:type="dxa"/>
              <w:bottom w:w="80" w:type="dxa"/>
              <w:left w:w="100" w:type="dxa"/>
              <w:right w:w="100" w:type="dxa"/>
            </w:tcMar>
          </w:tcPr>
          <w:p>
            <w:pPr>
              <w:spacing w:after="40"/>
            </w:pPr>
            <w:r>
              <w:rPr>
                <w:sz w:val="17"/>
              </w:rPr>
              <w:t>Analýza vlivu sentimentu napříč modely, sektory a režimy tržní volatility.</w:t>
            </w:r>
          </w:p>
        </w:tc>
        <w:tc>
          <w:tcPr>
            <w:tcW w:type="dxa" w:w="2736"/>
            <w:shd w:fill="ffffff"/>
            <w:tcMar>
              <w:top w:w="80" w:type="dxa"/>
              <w:bottom w:w="80" w:type="dxa"/>
              <w:left w:w="100" w:type="dxa"/>
              <w:right w:w="100" w:type="dxa"/>
            </w:tcMar>
          </w:tcPr>
          <w:p>
            <w:pPr>
              <w:spacing w:after="40"/>
            </w:pPr>
            <w:r>
              <w:rPr>
                <w:sz w:val="17"/>
              </w:rPr>
              <w:t>Režimové vážení sentimentu (HIGH_VOLATILITY vs. DEFENSIVE_FUNDAMENTAL).</w:t>
            </w:r>
          </w:p>
        </w:tc>
        <w:tc>
          <w:tcPr>
            <w:tcW w:type="dxa" w:w="2160"/>
            <w:shd w:fill="ffffff"/>
            <w:tcMar>
              <w:top w:w="80" w:type="dxa"/>
              <w:bottom w:w="80" w:type="dxa"/>
              <w:left w:w="100" w:type="dxa"/>
              <w:right w:w="100" w:type="dxa"/>
            </w:tcMar>
          </w:tcPr>
          <w:p>
            <w:pPr>
              <w:spacing w:after="40"/>
            </w:pPr>
            <w:r>
              <w:rPr>
                <w:sz w:val="17"/>
              </w:rPr>
              <w:t>Eliminace falešných signálů u defenzivních titulů a zrychlení reakce u technologií.</w:t>
            </w:r>
          </w:p>
        </w:tc>
      </w:tr>
      <w:tr>
        <w:tc>
          <w:tcPr>
            <w:tcW w:type="dxa" w:w="2592"/>
            <w:shd w:fill="f8fafc"/>
            <w:tcMar>
              <w:top w:w="80" w:type="dxa"/>
              <w:bottom w:w="80" w:type="dxa"/>
              <w:left w:w="100" w:type="dxa"/>
              <w:right w:w="100" w:type="dxa"/>
            </w:tcMar>
          </w:tcPr>
          <w:p>
            <w:pPr>
              <w:spacing w:after="40"/>
            </w:pPr>
            <w:r>
              <w:rPr>
                <w:b/>
                <w:sz w:val="17"/>
              </w:rPr>
              <w:t>Juan Luis Ruiz-Tagle</w:t>
              <w:br/>
              <w:t>(UPM Madrid, 2023)</w:t>
            </w:r>
          </w:p>
        </w:tc>
        <w:tc>
          <w:tcPr>
            <w:tcW w:type="dxa" w:w="2592"/>
            <w:shd w:fill="f8fafc"/>
            <w:tcMar>
              <w:top w:w="80" w:type="dxa"/>
              <w:bottom w:w="80" w:type="dxa"/>
              <w:left w:w="100" w:type="dxa"/>
              <w:right w:w="100" w:type="dxa"/>
            </w:tcMar>
          </w:tcPr>
          <w:p>
            <w:pPr>
              <w:spacing w:after="40"/>
            </w:pPr>
            <w:r>
              <w:rPr>
                <w:sz w:val="17"/>
              </w:rPr>
              <w:t>Predikce krátkodobých trendů pomocí FinBERT a technických indikátorů.</w:t>
            </w:r>
          </w:p>
        </w:tc>
        <w:tc>
          <w:tcPr>
            <w:tcW w:type="dxa" w:w="2736"/>
            <w:shd w:fill="f8fafc"/>
            <w:tcMar>
              <w:top w:w="80" w:type="dxa"/>
              <w:bottom w:w="80" w:type="dxa"/>
              <w:left w:w="100" w:type="dxa"/>
              <w:right w:w="100" w:type="dxa"/>
            </w:tcMar>
          </w:tcPr>
          <w:p>
            <w:pPr>
              <w:spacing w:after="40"/>
            </w:pPr>
            <w:r>
              <w:rPr>
                <w:sz w:val="17"/>
              </w:rPr>
              <w:t>Pravidlo nepotvrzeného sentimentu v Gemini 3.8 Flash AI (sentiment vyžaduje technický impuls).</w:t>
            </w:r>
          </w:p>
        </w:tc>
        <w:tc>
          <w:tcPr>
            <w:tcW w:type="dxa" w:w="2160"/>
            <w:shd w:fill="f8fafc"/>
            <w:tcMar>
              <w:top w:w="80" w:type="dxa"/>
              <w:bottom w:w="80" w:type="dxa"/>
              <w:left w:w="100" w:type="dxa"/>
              <w:right w:w="100" w:type="dxa"/>
            </w:tcMar>
          </w:tcPr>
          <w:p>
            <w:pPr>
              <w:spacing w:after="40"/>
            </w:pPr>
            <w:r>
              <w:rPr>
                <w:sz w:val="17"/>
              </w:rPr>
              <w:t>Ochrana před nákupem do padajícího nože na pouhou 'pozitivní PR zprávu'.</w:t>
            </w:r>
          </w:p>
        </w:tc>
      </w:tr>
      <w:tr>
        <w:tc>
          <w:tcPr>
            <w:tcW w:type="dxa" w:w="2592"/>
            <w:shd w:fill="ffffff"/>
            <w:tcMar>
              <w:top w:w="80" w:type="dxa"/>
              <w:bottom w:w="80" w:type="dxa"/>
              <w:left w:w="100" w:type="dxa"/>
              <w:right w:w="100" w:type="dxa"/>
            </w:tcMar>
          </w:tcPr>
          <w:p>
            <w:pPr>
              <w:spacing w:after="40"/>
            </w:pPr>
            <w:r>
              <w:rPr>
                <w:b/>
                <w:sz w:val="17"/>
              </w:rPr>
              <w:t>Praveen Sadasivan</w:t>
              <w:br/>
              <w:t>(Victoria University, 2024/25)</w:t>
            </w:r>
          </w:p>
        </w:tc>
        <w:tc>
          <w:tcPr>
            <w:tcW w:type="dxa" w:w="2592"/>
            <w:shd w:fill="ffffff"/>
            <w:tcMar>
              <w:top w:w="80" w:type="dxa"/>
              <w:bottom w:w="80" w:type="dxa"/>
              <w:left w:w="100" w:type="dxa"/>
              <w:right w:w="100" w:type="dxa"/>
            </w:tcMar>
          </w:tcPr>
          <w:p>
            <w:pPr>
              <w:spacing w:after="40"/>
            </w:pPr>
            <w:r>
              <w:rPr>
                <w:sz w:val="17"/>
              </w:rPr>
              <w:t>Predikce bankovních indexů pomocí optimalizovaných AI modelů a úrokových sazeb.</w:t>
            </w:r>
          </w:p>
        </w:tc>
        <w:tc>
          <w:tcPr>
            <w:tcW w:type="dxa" w:w="2736"/>
            <w:shd w:fill="ffffff"/>
            <w:tcMar>
              <w:top w:w="80" w:type="dxa"/>
              <w:bottom w:w="80" w:type="dxa"/>
              <w:left w:w="100" w:type="dxa"/>
              <w:right w:w="100" w:type="dxa"/>
            </w:tcMar>
          </w:tcPr>
          <w:p>
            <w:pPr>
              <w:spacing w:after="40"/>
            </w:pPr>
            <w:r>
              <w:rPr>
                <w:sz w:val="17"/>
              </w:rPr>
              <w:t>Katalyzátor CAT_FINANCIAL_CYCLE se zpožděnou transmisí úrokových marží (NIM).</w:t>
            </w:r>
          </w:p>
        </w:tc>
        <w:tc>
          <w:tcPr>
            <w:tcW w:type="dxa" w:w="2160"/>
            <w:shd w:fill="ffffff"/>
            <w:tcMar>
              <w:top w:w="80" w:type="dxa"/>
              <w:bottom w:w="80" w:type="dxa"/>
              <w:left w:w="100" w:type="dxa"/>
              <w:right w:w="100" w:type="dxa"/>
            </w:tcMar>
          </w:tcPr>
          <w:p>
            <w:pPr>
              <w:spacing w:after="40"/>
            </w:pPr>
            <w:r>
              <w:rPr>
                <w:sz w:val="17"/>
              </w:rPr>
              <w:t>Přesnější časování vstupů do evropských a českých bank (KB, Erste, Moneta).</w:t>
            </w:r>
          </w:p>
        </w:tc>
      </w:tr>
    </w:tbl>
    <w:p>
      <w:pPr>
        <w:spacing w:after="240"/>
      </w:pPr>
    </w:p>
    <w:p>
      <w:pPr>
        <w:keepNext/>
        <w:spacing w:before="280" w:after="80"/>
      </w:pPr>
      <w:r>
        <w:rPr>
          <w:rFonts w:ascii="Calibri" w:hAnsi="Calibri"/>
          <w:b/>
          <w:color w:val="2563EB"/>
          <w:sz w:val="26"/>
        </w:rPr>
        <w:t>6.12 Makroekonomický Barometr: Index Rizika Recese, Krachu a Sektorové Kontrakce</w:t>
      </w:r>
    </w:p>
    <w:p>
      <w:pPr>
        <w:spacing w:before="0" w:after="120" w:line="276" w:lineRule="auto"/>
      </w:pPr>
      <w:r>
        <w:rPr>
          <w:rFonts w:ascii="Calibri" w:hAnsi="Calibri"/>
          <w:color w:val="1E293B"/>
          <w:sz w:val="21"/>
        </w:rPr>
        <w:t>Na samotném začátku vizuálního rozhraní byl zaveden Kompozitní Makroekonomický Barometr (0 až 100) s vertikální stupnicí, který slouží jako předstihový systém včasného varování před hospodářskou recesí a systémovým krachem trhů. Engine nepřetržitě vyhodnocuje 5 klíčových institucionálních datových proudů:</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00" w:type="dxa"/>
              <w:bottom w:w="100" w:type="dxa"/>
              <w:left w:w="100" w:type="dxa"/>
              <w:right w:w="100" w:type="dxa"/>
            </w:tcMar>
          </w:tcPr>
          <w:p>
            <w:pPr>
              <w:spacing w:after="40"/>
            </w:pPr>
            <w:r>
              <w:rPr>
                <w:b/>
                <w:color w:val="FFFFFF"/>
                <w:sz w:val="18"/>
              </w:rPr>
              <w:t>Sub-faktor makro barometru</w:t>
            </w:r>
          </w:p>
        </w:tc>
        <w:tc>
          <w:tcPr>
            <w:tcW w:type="dxa" w:w="3120"/>
            <w:shd w:fill="0f172a"/>
            <w:tcMar>
              <w:top w:w="100" w:type="dxa"/>
              <w:bottom w:w="100" w:type="dxa"/>
              <w:left w:w="100" w:type="dxa"/>
              <w:right w:w="100" w:type="dxa"/>
            </w:tcMar>
          </w:tcPr>
          <w:p>
            <w:pPr>
              <w:spacing w:after="40"/>
            </w:pPr>
            <w:r>
              <w:rPr>
                <w:b/>
                <w:color w:val="FFFFFF"/>
                <w:sz w:val="18"/>
              </w:rPr>
              <w:t>Váha</w:t>
            </w:r>
          </w:p>
        </w:tc>
        <w:tc>
          <w:tcPr>
            <w:tcW w:type="dxa" w:w="3120"/>
            <w:shd w:fill="0f172a"/>
            <w:tcMar>
              <w:top w:w="100" w:type="dxa"/>
              <w:bottom w:w="100" w:type="dxa"/>
              <w:left w:w="100" w:type="dxa"/>
              <w:right w:w="100" w:type="dxa"/>
            </w:tcMar>
          </w:tcPr>
          <w:p>
            <w:pPr>
              <w:spacing w:after="40"/>
            </w:pPr>
            <w:r>
              <w:rPr>
                <w:b/>
                <w:color w:val="FFFFFF"/>
                <w:sz w:val="18"/>
              </w:rPr>
              <w:t>Měřené metriky a indikace</w:t>
            </w:r>
          </w:p>
        </w:tc>
      </w:tr>
      <w:tr>
        <w:tc>
          <w:tcPr>
            <w:tcW w:type="dxa" w:w="3120"/>
            <w:shd w:fill="f8fafc"/>
            <w:tcMar>
              <w:top w:w="70" w:type="dxa"/>
              <w:bottom w:w="70" w:type="dxa"/>
              <w:left w:w="90" w:type="dxa"/>
              <w:right w:w="90" w:type="dxa"/>
            </w:tcMar>
          </w:tcPr>
          <w:p>
            <w:pPr>
              <w:spacing w:after="40"/>
            </w:pPr>
            <w:r>
              <w:rPr>
                <w:b/>
                <w:sz w:val="17"/>
              </w:rPr>
              <w:t>1. Výnosová křivka US Treasuries</w:t>
            </w:r>
          </w:p>
        </w:tc>
        <w:tc>
          <w:tcPr>
            <w:tcW w:type="dxa" w:w="3120"/>
            <w:shd w:fill="f8fafc"/>
            <w:tcMar>
              <w:top w:w="70" w:type="dxa"/>
              <w:bottom w:w="70" w:type="dxa"/>
              <w:left w:w="90" w:type="dxa"/>
              <w:right w:w="90" w:type="dxa"/>
            </w:tcMar>
          </w:tcPr>
          <w:p>
            <w:pPr>
              <w:spacing w:after="40"/>
            </w:pPr>
            <w:r>
              <w:rPr>
                <w:sz w:val="17"/>
              </w:rPr>
              <w:t>25 %</w:t>
            </w:r>
          </w:p>
        </w:tc>
        <w:tc>
          <w:tcPr>
            <w:tcW w:type="dxa" w:w="3120"/>
            <w:shd w:fill="f8fafc"/>
            <w:tcMar>
              <w:top w:w="70" w:type="dxa"/>
              <w:bottom w:w="70" w:type="dxa"/>
              <w:left w:w="90" w:type="dxa"/>
              <w:right w:w="90" w:type="dxa"/>
            </w:tcMar>
          </w:tcPr>
          <w:p>
            <w:pPr>
              <w:spacing w:after="40"/>
            </w:pPr>
            <w:r>
              <w:rPr>
                <w:sz w:val="17"/>
              </w:rPr>
              <w:t>Spready 10Y-3M (^TNX vs ^IRX) a 10Y-5Y (^TNX vs ^FVX). Inverze křivky a fáze un-inversion předpovídají recesi se 6–18měsíčním předstihem.</w:t>
            </w:r>
          </w:p>
        </w:tc>
      </w:tr>
      <w:tr>
        <w:tc>
          <w:tcPr>
            <w:tcW w:type="dxa" w:w="3120"/>
            <w:shd w:fill="ffffff"/>
            <w:tcMar>
              <w:top w:w="70" w:type="dxa"/>
              <w:bottom w:w="70" w:type="dxa"/>
              <w:left w:w="90" w:type="dxa"/>
              <w:right w:w="90" w:type="dxa"/>
            </w:tcMar>
          </w:tcPr>
          <w:p>
            <w:pPr>
              <w:spacing w:after="40"/>
            </w:pPr>
            <w:r>
              <w:rPr>
                <w:b/>
                <w:sz w:val="17"/>
              </w:rPr>
              <w:t>2. Úvěrové spready firemního dluhu</w:t>
            </w:r>
          </w:p>
        </w:tc>
        <w:tc>
          <w:tcPr>
            <w:tcW w:type="dxa" w:w="3120"/>
            <w:shd w:fill="ffffff"/>
            <w:tcMar>
              <w:top w:w="70" w:type="dxa"/>
              <w:bottom w:w="70" w:type="dxa"/>
              <w:left w:w="90" w:type="dxa"/>
              <w:right w:w="90" w:type="dxa"/>
            </w:tcMar>
          </w:tcPr>
          <w:p>
            <w:pPr>
              <w:spacing w:after="40"/>
            </w:pPr>
            <w:r>
              <w:rPr>
                <w:sz w:val="17"/>
              </w:rPr>
              <w:t>20 %</w:t>
            </w:r>
          </w:p>
        </w:tc>
        <w:tc>
          <w:tcPr>
            <w:tcW w:type="dxa" w:w="3120"/>
            <w:shd w:fill="ffffff"/>
            <w:tcMar>
              <w:top w:w="70" w:type="dxa"/>
              <w:bottom w:w="70" w:type="dxa"/>
              <w:left w:w="90" w:type="dxa"/>
              <w:right w:w="90" w:type="dxa"/>
            </w:tcMar>
          </w:tcPr>
          <w:p>
            <w:pPr>
              <w:spacing w:after="40"/>
            </w:pPr>
            <w:r>
              <w:rPr>
                <w:sz w:val="17"/>
              </w:rPr>
              <w:t>Poměr high-yield dluhopisů (HYG) vůči kvalitním bonitním dluhopisům (LQD) a poloha vůči 50d SMA. Měří riziko korporátních bankrotů.</w:t>
            </w:r>
          </w:p>
        </w:tc>
      </w:tr>
      <w:tr>
        <w:tc>
          <w:tcPr>
            <w:tcW w:type="dxa" w:w="3120"/>
            <w:shd w:fill="f8fafc"/>
            <w:tcMar>
              <w:top w:w="70" w:type="dxa"/>
              <w:bottom w:w="70" w:type="dxa"/>
              <w:left w:w="90" w:type="dxa"/>
              <w:right w:w="90" w:type="dxa"/>
            </w:tcMar>
          </w:tcPr>
          <w:p>
            <w:pPr>
              <w:spacing w:after="40"/>
            </w:pPr>
            <w:r>
              <w:rPr>
                <w:b/>
                <w:sz w:val="17"/>
              </w:rPr>
              <w:t>3. Volatilitní režim CBOE VIX</w:t>
            </w:r>
          </w:p>
        </w:tc>
        <w:tc>
          <w:tcPr>
            <w:tcW w:type="dxa" w:w="3120"/>
            <w:shd w:fill="f8fafc"/>
            <w:tcMar>
              <w:top w:w="70" w:type="dxa"/>
              <w:bottom w:w="70" w:type="dxa"/>
              <w:left w:w="90" w:type="dxa"/>
              <w:right w:w="90" w:type="dxa"/>
            </w:tcMar>
          </w:tcPr>
          <w:p>
            <w:pPr>
              <w:spacing w:after="40"/>
            </w:pPr>
            <w:r>
              <w:rPr>
                <w:sz w:val="17"/>
              </w:rPr>
              <w:t>20 %</w:t>
            </w:r>
          </w:p>
        </w:tc>
        <w:tc>
          <w:tcPr>
            <w:tcW w:type="dxa" w:w="3120"/>
            <w:shd w:fill="f8fafc"/>
            <w:tcMar>
              <w:top w:w="70" w:type="dxa"/>
              <w:bottom w:w="70" w:type="dxa"/>
              <w:left w:w="90" w:type="dxa"/>
              <w:right w:w="90" w:type="dxa"/>
            </w:tcMar>
          </w:tcPr>
          <w:p>
            <w:pPr>
              <w:spacing w:after="40"/>
            </w:pPr>
            <w:r>
              <w:rPr>
                <w:sz w:val="17"/>
              </w:rPr>
              <w:t>Úroveň indexů ^VIX a ^VXN. Rozlišuje klidný trh (&lt;16), zvýšené napětí (16–22), korekční paniku (23–28) a likviditní krizi (&gt;28).</w:t>
            </w:r>
          </w:p>
        </w:tc>
      </w:tr>
      <w:tr>
        <w:tc>
          <w:tcPr>
            <w:tcW w:type="dxa" w:w="3120"/>
            <w:shd w:fill="ffffff"/>
            <w:tcMar>
              <w:top w:w="70" w:type="dxa"/>
              <w:bottom w:w="70" w:type="dxa"/>
              <w:left w:w="90" w:type="dxa"/>
              <w:right w:w="90" w:type="dxa"/>
            </w:tcMar>
          </w:tcPr>
          <w:p>
            <w:pPr>
              <w:spacing w:after="40"/>
            </w:pPr>
            <w:r>
              <w:rPr>
                <w:b/>
                <w:sz w:val="17"/>
              </w:rPr>
              <w:t>4. Poptávkový a výrobní cyklus</w:t>
            </w:r>
          </w:p>
        </w:tc>
        <w:tc>
          <w:tcPr>
            <w:tcW w:type="dxa" w:w="3120"/>
            <w:shd w:fill="ffffff"/>
            <w:tcMar>
              <w:top w:w="70" w:type="dxa"/>
              <w:bottom w:w="70" w:type="dxa"/>
              <w:left w:w="90" w:type="dxa"/>
              <w:right w:w="90" w:type="dxa"/>
            </w:tcMar>
          </w:tcPr>
          <w:p>
            <w:pPr>
              <w:spacing w:after="40"/>
            </w:pPr>
            <w:r>
              <w:rPr>
                <w:sz w:val="17"/>
              </w:rPr>
              <w:t>20 %</w:t>
            </w:r>
          </w:p>
        </w:tc>
        <w:tc>
          <w:tcPr>
            <w:tcW w:type="dxa" w:w="3120"/>
            <w:shd w:fill="ffffff"/>
            <w:tcMar>
              <w:top w:w="70" w:type="dxa"/>
              <w:bottom w:w="70" w:type="dxa"/>
              <w:left w:w="90" w:type="dxa"/>
              <w:right w:w="90" w:type="dxa"/>
            </w:tcMar>
          </w:tcPr>
          <w:p>
            <w:pPr>
              <w:spacing w:after="40"/>
            </w:pPr>
            <w:r>
              <w:rPr>
                <w:sz w:val="17"/>
              </w:rPr>
              <w:t>Poměr cyklického vs. defenzivního spotřebního koše (XLY/XLP) a relativní hybnost průmyslu (XLI vs SPY). Předstihový signál o chování spotřebitelů.</w:t>
            </w:r>
          </w:p>
        </w:tc>
      </w:tr>
      <w:tr>
        <w:tc>
          <w:tcPr>
            <w:tcW w:type="dxa" w:w="3120"/>
            <w:shd w:fill="f8fafc"/>
            <w:tcMar>
              <w:top w:w="70" w:type="dxa"/>
              <w:bottom w:w="70" w:type="dxa"/>
              <w:left w:w="90" w:type="dxa"/>
              <w:right w:w="90" w:type="dxa"/>
            </w:tcMar>
          </w:tcPr>
          <w:p>
            <w:pPr>
              <w:spacing w:after="40"/>
            </w:pPr>
            <w:r>
              <w:rPr>
                <w:b/>
                <w:sz w:val="17"/>
              </w:rPr>
              <w:t>5. Vnitřní šíře univerza (Market Breadth)</w:t>
            </w:r>
          </w:p>
        </w:tc>
        <w:tc>
          <w:tcPr>
            <w:tcW w:type="dxa" w:w="3120"/>
            <w:shd w:fill="f8fafc"/>
            <w:tcMar>
              <w:top w:w="70" w:type="dxa"/>
              <w:bottom w:w="70" w:type="dxa"/>
              <w:left w:w="90" w:type="dxa"/>
              <w:right w:w="90" w:type="dxa"/>
            </w:tcMar>
          </w:tcPr>
          <w:p>
            <w:pPr>
              <w:spacing w:after="40"/>
            </w:pPr>
            <w:r>
              <w:rPr>
                <w:sz w:val="17"/>
              </w:rPr>
              <w:t>15 %</w:t>
            </w:r>
          </w:p>
        </w:tc>
        <w:tc>
          <w:tcPr>
            <w:tcW w:type="dxa" w:w="3120"/>
            <w:shd w:fill="f8fafc"/>
            <w:tcMar>
              <w:top w:w="70" w:type="dxa"/>
              <w:bottom w:w="70" w:type="dxa"/>
              <w:left w:w="90" w:type="dxa"/>
              <w:right w:w="90" w:type="dxa"/>
            </w:tcMar>
          </w:tcPr>
          <w:p>
            <w:pPr>
              <w:spacing w:after="40"/>
            </w:pPr>
            <w:r>
              <w:rPr>
                <w:sz w:val="17"/>
              </w:rPr>
              <w:t>Procento aktiv nad 50d klouzavým průměrem a poměr prodejních vs nákupních doporučení napříč všemi 557 aktivy SuggestInvest.</w:t>
            </w:r>
          </w:p>
        </w:tc>
      </w:tr>
    </w:tbl>
    <w:p>
      <w:pPr>
        <w:spacing w:after="120"/>
      </w:pPr>
    </w:p>
    <w:p>
      <w:pPr>
        <w:spacing w:before="0" w:after="120" w:line="276" w:lineRule="auto"/>
      </w:pPr>
      <w:r>
        <w:rPr>
          <w:rFonts w:ascii="Calibri" w:hAnsi="Calibri"/>
          <w:color w:val="1E293B"/>
          <w:sz w:val="21"/>
        </w:rPr>
        <w:t>Taktická alokace kapitálu je řízena třístupňovou zónou: Zelená zóna (0–35): Býčí expanze, 100 % alokace; Žlutá zóna (36–65): Pozdní cyklus a varování, krácení nových pozic na 70 % a RRR ≥ 1.8; Červená zóna (66–100): Akutní riziko recese / medvědí trh, maximální alokace 35 %, stop nákupům cyklických akcií a rotace do hotovosti a dividend.</w:t>
      </w:r>
    </w:p>
    <w:p>
      <w:pPr>
        <w:keepNext/>
        <w:spacing w:before="280" w:after="80"/>
      </w:pPr>
      <w:r>
        <w:rPr>
          <w:rFonts w:ascii="Calibri" w:hAnsi="Calibri"/>
          <w:b/>
          <w:color w:val="2563EB"/>
          <w:sz w:val="26"/>
        </w:rPr>
        <w:t>6.13 Samostatný Autonomní Trading Portál: Interactive Brokers (IBKR) &amp; XTB</w:t>
      </w:r>
    </w:p>
    <w:p>
      <w:pPr>
        <w:spacing w:before="0" w:after="120" w:line="276" w:lineRule="auto"/>
      </w:pPr>
      <w:r>
        <w:rPr>
          <w:rFonts w:ascii="Calibri" w:hAnsi="Calibri"/>
          <w:color w:val="1E293B"/>
          <w:sz w:val="21"/>
        </w:rPr>
        <w:t>Systém disponuje samostatnou dedikovanou stránkou pro autonomní trading (trading.html), přístupnou přímo z horní navigace terminálu. Portál je primárně cílen na institucionálního brokera Interactive Brokers (IBKR) s plnou podporou TWS Socket API (port 7497 Paper / 7496 Live), IB Client Portal Gateway (port 5000), jednoklikového exportu do TWS modulu Basket Trader (BasketTrader.csv) i WebSocket mostu pro brokera XTB (xAPI).</w:t>
      </w:r>
    </w:p>
    <w:p>
      <w:pPr>
        <w:spacing w:before="0" w:after="120" w:line="276" w:lineRule="auto"/>
      </w:pPr>
      <w:r>
        <w:rPr>
          <w:rFonts w:ascii="Calibri" w:hAnsi="Calibri"/>
          <w:color w:val="1E293B"/>
          <w:sz w:val="21"/>
        </w:rPr>
        <w:t>A. Autonomní mikroslužba a exekuční REST API (autoinvest_service.py):</w:t>
      </w:r>
    </w:p>
    <w:p>
      <w:pPr>
        <w:pStyle w:val="ListBullet"/>
        <w:spacing w:before="0" w:after="60" w:line="276" w:lineRule="auto"/>
      </w:pPr>
      <w:r>
        <w:rPr>
          <w:rFonts w:ascii="Calibri" w:hAnsi="Calibri"/>
          <w:b/>
          <w:color w:val="1E293B"/>
          <w:sz w:val="21"/>
        </w:rPr>
        <w:t>Lokální REST API:</w:t>
      </w:r>
      <w:r>
        <w:rPr>
          <w:rFonts w:ascii="Calibri" w:hAnsi="Calibri"/>
          <w:color w:val="1E293B"/>
          <w:sz w:val="21"/>
        </w:rPr>
        <w:t xml:space="preserve"> Běží na lokálním portu 5001 a poskytuje REST koncové body pro spouštění nákupů, okamžitou kontrolu zůstatků hotovosti a stavu portfolia.</w:t>
      </w:r>
    </w:p>
    <w:p>
      <w:pPr>
        <w:pStyle w:val="ListBullet"/>
        <w:spacing w:before="0" w:after="60" w:line="276" w:lineRule="auto"/>
      </w:pPr>
      <w:r>
        <w:rPr>
          <w:rFonts w:ascii="Calibri" w:hAnsi="Calibri"/>
          <w:b/>
          <w:color w:val="1E293B"/>
          <w:sz w:val="21"/>
        </w:rPr>
        <w:t>Generování Bracket objednávek:</w:t>
      </w:r>
      <w:r>
        <w:rPr>
          <w:rFonts w:ascii="Calibri" w:hAnsi="Calibri"/>
          <w:color w:val="1E293B"/>
          <w:sz w:val="21"/>
        </w:rPr>
        <w:t xml:space="preserve"> Automaticky transformuje TOP 5 MVO konvikční koš a Strong Buy tituly na brokerem akceptovatelné JSON příkazy s přesně stanovenou alokací.</w:t>
      </w:r>
    </w:p>
    <w:p>
      <w:pPr>
        <w:pStyle w:val="ListBullet"/>
        <w:spacing w:before="0" w:after="60" w:line="276" w:lineRule="auto"/>
      </w:pPr>
      <w:r>
        <w:rPr>
          <w:rFonts w:ascii="Calibri" w:hAnsi="Calibri"/>
          <w:b/>
          <w:color w:val="1E293B"/>
          <w:sz w:val="21"/>
        </w:rPr>
        <w:t>Autonomní kapitálová rotace (Watcher):</w:t>
      </w:r>
      <w:r>
        <w:rPr>
          <w:rFonts w:ascii="Calibri" w:hAnsi="Calibri"/>
          <w:color w:val="1E293B"/>
          <w:sz w:val="21"/>
        </w:rPr>
        <w:t xml:space="preserve"> Průběžný dohled nad otevřenými pozicemi. Při zasažení Take-Profitu nebo Stop-Lossu uvolněnou hotovost okamžitě reinvestuje do dalšího prioritního titulu z nákupní fronty.</w:t>
      </w:r>
    </w:p>
    <w:p>
      <w:pPr>
        <w:spacing w:before="0" w:after="120" w:line="276" w:lineRule="auto"/>
      </w:pPr>
      <w:r>
        <w:rPr>
          <w:rFonts w:ascii="Calibri" w:hAnsi="Calibri"/>
          <w:color w:val="1E293B"/>
          <w:sz w:val="21"/>
        </w:rPr>
        <w:t>B. Samoopravný dohledový démon (ib_watchdog.py):</w:t>
      </w:r>
    </w:p>
    <w:p>
      <w:pPr>
        <w:pStyle w:val="ListBullet"/>
        <w:spacing w:before="0" w:after="60" w:line="276" w:lineRule="auto"/>
      </w:pPr>
      <w:r>
        <w:rPr>
          <w:rFonts w:ascii="Calibri" w:hAnsi="Calibri"/>
          <w:b/>
          <w:color w:val="1E293B"/>
          <w:sz w:val="21"/>
        </w:rPr>
        <w:t>Heartbeat Keep-Alive:</w:t>
      </w:r>
      <w:r>
        <w:rPr>
          <w:rFonts w:ascii="Calibri" w:hAnsi="Calibri"/>
          <w:color w:val="1E293B"/>
          <w:sz w:val="21"/>
        </w:rPr>
        <w:t xml:space="preserve"> Každých 60 sekund odesílá Keep-Alive heartbeat (/v1/api/tickle) na port 5000 Gateway, čímž prodlužuje autentizační relaci a brání odhlášení z nečinnosti.</w:t>
      </w:r>
    </w:p>
    <w:p>
      <w:pPr>
        <w:pStyle w:val="ListBullet"/>
        <w:spacing w:before="0" w:after="60" w:line="276" w:lineRule="auto"/>
      </w:pPr>
      <w:r>
        <w:rPr>
          <w:rFonts w:ascii="Calibri" w:hAnsi="Calibri"/>
          <w:b/>
          <w:color w:val="1E293B"/>
          <w:sz w:val="21"/>
        </w:rPr>
        <w:t>Hlídání procesu:</w:t>
      </w:r>
      <w:r>
        <w:rPr>
          <w:rFonts w:ascii="Calibri" w:hAnsi="Calibri"/>
          <w:color w:val="1E293B"/>
          <w:sz w:val="21"/>
        </w:rPr>
        <w:t xml:space="preserve"> Neustále monitoruje dostupnost Gateway. Při výpadku procesu provede automatický restart přes start_ib_gateway.bat.</w:t>
      </w:r>
    </w:p>
    <w:p>
      <w:pPr>
        <w:pStyle w:val="ListBullet"/>
        <w:spacing w:before="0" w:after="60" w:line="276" w:lineRule="auto"/>
      </w:pPr>
      <w:r>
        <w:rPr>
          <w:rFonts w:ascii="Calibri" w:hAnsi="Calibri"/>
          <w:b/>
          <w:color w:val="1E293B"/>
          <w:sz w:val="21"/>
        </w:rPr>
        <w:t>Automatický headless reconnect:</w:t>
      </w:r>
      <w:r>
        <w:rPr>
          <w:rFonts w:ascii="Calibri" w:hAnsi="Calibri"/>
          <w:color w:val="1E293B"/>
          <w:sz w:val="21"/>
        </w:rPr>
        <w:t xml:space="preserve"> Při ranním odpojení session (např. pravidelná noční údržba IBKR) automaticky obnoví spojení s využitím přihlašovacích údajů z .env bez nutnosti ručního zadávání či 2FA.</w:t>
      </w:r>
    </w:p>
    <w:p>
      <w:pPr>
        <w:spacing w:before="0" w:after="120" w:line="276" w:lineRule="auto"/>
      </w:pPr>
      <w:r>
        <w:rPr>
          <w:rFonts w:ascii="Calibri" w:hAnsi="Calibri"/>
          <w:color w:val="1E293B"/>
          <w:sz w:val="21"/>
        </w:rPr>
        <w:t>C. Tichý běh bez oken na Windows:</w:t>
      </w:r>
    </w:p>
    <w:p>
      <w:pPr>
        <w:pStyle w:val="ListBullet"/>
        <w:spacing w:before="0" w:after="60" w:line="276" w:lineRule="auto"/>
      </w:pPr>
      <w:r>
        <w:rPr>
          <w:rFonts w:ascii="Calibri" w:hAnsi="Calibri"/>
          <w:b/>
          <w:color w:val="1E293B"/>
          <w:sz w:val="21"/>
        </w:rPr>
        <w:t>Pozadí bez vyskakovacích oken:</w:t>
      </w:r>
      <w:r>
        <w:rPr>
          <w:rFonts w:ascii="Calibri" w:hAnsi="Calibri"/>
          <w:color w:val="1E293B"/>
          <w:sz w:val="21"/>
        </w:rPr>
        <w:t xml:space="preserve"> Pomocí VBScriptů (Spustit_AutoInvest.vbs a Zastavit_AutoInvest.vbs) běží celá dohledová a exekuční infrastruktura zcela skrytě na pozadí operačního systému Windows bez rušivých černých oken příkazové řádky.</w:t>
      </w:r>
    </w:p>
    <w:p>
      <w:pPr>
        <w:pStyle w:val="ListBullet"/>
        <w:spacing w:before="0" w:after="60" w:line="276" w:lineRule="auto"/>
      </w:pPr>
      <w:r>
        <w:rPr>
          <w:rFonts w:ascii="Calibri" w:hAnsi="Calibri"/>
          <w:b/>
          <w:color w:val="1E293B"/>
          <w:sz w:val="21"/>
        </w:rPr>
        <w:t>Centrální spouštěč:</w:t>
      </w:r>
      <w:r>
        <w:rPr>
          <w:rFonts w:ascii="Calibri" w:hAnsi="Calibri"/>
          <w:color w:val="1E293B"/>
          <w:sz w:val="21"/>
        </w:rPr>
        <w:t xml:space="preserve"> Skript spustit_vse.bat umožňuje jedním kliknutím uvést do chodu kompletní ekosystém (HTTP webový server, ranní skener trhu i autonomní trading démon).</w:t>
      </w:r>
    </w:p>
    <w:p>
      <w:pPr>
        <w:spacing w:after="240"/>
      </w:pP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557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51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485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makroekonomického barometru recese, autonomního IBKR &amp; XTB execution enginu a syntézy modelu Google Gemini 3.8 Flash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