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541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541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AI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513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AI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513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Pro</w:t>
      </w:r>
    </w:p>
    <w:p>
      <w:pPr>
        <w:spacing w:before="0" w:after="120" w:line="276" w:lineRule="auto"/>
      </w:pPr>
      <w:r>
        <w:rPr>
          <w:rFonts w:ascii="Calibri" w:hAnsi="Calibri"/>
          <w:color w:val="1E293B"/>
          <w:sz w:val="21"/>
        </w:rPr>
        <w:t>Model Gemini není použit jako generátor náhodného textu, ale jako vysoce kvalifikovaný analytik, který má ve své bázi znalosti o obchodních modelech jednotlivých firem, jejich konkurenčních výhodách (economic moats), zadlužení a sektorové expozici. Spojením aktuálního kurzu s fundamentální podstatou firmy vzniká výsledné zhodnocení.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(Barevné štítky)</w:t>
      </w:r>
    </w:p>
    <w:p>
      <w:pPr>
        <w:spacing w:before="0" w:after="120" w:line="276" w:lineRule="auto"/>
      </w:pPr>
      <w:r>
        <w:rPr>
          <w:rFonts w:ascii="Calibri" w:hAnsi="Calibri"/>
          <w:color w:val="1E293B"/>
          <w:sz w:val="21"/>
        </w:rPr>
        <w:t>Systém kartám automaticky přiřazuje rychlé vizuální štítky na základě matematických filtrů:</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dotýká nebo blíží 52týdennímu maximu (býčí síla).</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(oblast pro sledování slev).</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s vysokým dividendovým profilem.</w:t>
      </w:r>
    </w:p>
    <w:p>
      <w:pPr>
        <w:pStyle w:val="ListBullet"/>
        <w:spacing w:before="0" w:after="60" w:line="276" w:lineRule="auto"/>
      </w:pPr>
      <w:r>
        <w:rPr>
          <w:rFonts w:ascii="Calibri" w:hAnsi="Calibri"/>
          <w:b/>
          <w:color w:val="1E293B"/>
          <w:sz w:val="21"/>
        </w:rPr>
        <w:t>📊 Pasivní ETF:</w:t>
      </w:r>
      <w:r>
        <w:rPr>
          <w:rFonts w:ascii="Calibri" w:hAnsi="Calibri"/>
          <w:color w:val="1E293B"/>
          <w:sz w:val="21"/>
        </w:rPr>
        <w:t xml:space="preserve"> Fond sledující široký tržní index.</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Předstihové indikátory, cílové ceny a firemní kalendáře</w:t>
      </w:r>
    </w:p>
    <w:p>
      <w:pPr>
        <w:spacing w:before="0" w:after="120" w:line="276" w:lineRule="auto"/>
      </w:pPr>
      <w:r>
        <w:rPr>
          <w:rFonts w:ascii="Calibri" w:hAnsi="Calibri"/>
          <w:color w:val="1E293B"/>
          <w:sz w:val="21"/>
        </w:rPr>
        <w:t>Klíčovým inovačním skokem systému SuggestInvest je integrace předstihových (forward-looking) indikátorů. Zatímco běžné skenery pouze reaktivně sledují včerejší ceny a denní změny, SuggestInvest se dívá dopředu pomocí konsenzuálních cílových cen analytiků, odpočtu dnů do kvartálních výsledků a časových momentových delt.</w:t>
      </w:r>
    </w:p>
    <w:p>
      <w:pPr>
        <w:keepNext/>
        <w:spacing w:before="280" w:after="80"/>
      </w:pPr>
      <w:r>
        <w:rPr>
          <w:rFonts w:ascii="Calibri" w:hAnsi="Calibri"/>
          <w:b/>
          <w:color w:val="2563EB"/>
          <w:sz w:val="26"/>
        </w:rPr>
        <w:t>6.1 Cílové ceny analytiků a růstový potenciál (Target Upside %)</w:t>
      </w:r>
    </w:p>
    <w:p>
      <w:pPr>
        <w:spacing w:before="0" w:after="120" w:line="276" w:lineRule="auto"/>
      </w:pPr>
      <w:r>
        <w:rPr>
          <w:rFonts w:ascii="Calibri" w:hAnsi="Calibri"/>
          <w:color w:val="1E293B"/>
          <w:sz w:val="21"/>
        </w:rPr>
        <w:t>Pro každý akciový titul systém stahuje konsenzuální odhad analytiků z Wall Street (Target Mean Price, Target High a Target Low) včetně počtu analytiků pokrývajících danou akcii. Následně počítá přesný diskont či prémii vůči trhu:</w:t>
      </w:r>
    </w:p>
    <w:p>
      <w:pPr>
        <w:pStyle w:val="ListBullet"/>
        <w:spacing w:before="0" w:after="60" w:line="276" w:lineRule="auto"/>
      </w:pPr>
      <w:r>
        <w:rPr>
          <w:rFonts w:ascii="Calibri" w:hAnsi="Calibri"/>
          <w:b/>
          <w:color w:val="1E293B"/>
          <w:sz w:val="21"/>
        </w:rPr>
        <w:t>Vzorec Target Upside %:</w:t>
      </w:r>
      <w:r>
        <w:rPr>
          <w:rFonts w:ascii="Calibri" w:hAnsi="Calibri"/>
          <w:color w:val="1E293B"/>
          <w:sz w:val="21"/>
        </w:rPr>
        <w:t xml:space="preserve"> (Target Mean Price - Aktuální cena) / Aktuální cena × 100.</w:t>
      </w:r>
    </w:p>
    <w:p>
      <w:pPr>
        <w:pStyle w:val="ListBullet"/>
        <w:spacing w:before="0" w:after="60" w:line="276" w:lineRule="auto"/>
      </w:pPr>
      <w:r>
        <w:rPr>
          <w:rFonts w:ascii="Calibri" w:hAnsi="Calibri"/>
          <w:b/>
          <w:color w:val="1E293B"/>
          <w:sz w:val="21"/>
        </w:rPr>
        <w:t>🎯 Vysoký diskont (&gt; +25 %):</w:t>
      </w:r>
      <w:r>
        <w:rPr>
          <w:rFonts w:ascii="Calibri" w:hAnsi="Calibri"/>
          <w:color w:val="1E293B"/>
          <w:sz w:val="21"/>
        </w:rPr>
        <w:t xml:space="preserve"> Pokud je očekávaný růst k cíli &gt; +25 % při alespoň 5 analytických doporučeních.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Pokud aktuální tržní cena překročila průměrný cíl analytiků (varování před vyčerpaným potenciálem).</w:t>
      </w:r>
    </w:p>
    <w:p>
      <w:pPr>
        <w:keepNext/>
        <w:spacing w:before="280" w:after="80"/>
      </w:pPr>
      <w:r>
        <w:rPr>
          <w:rFonts w:ascii="Calibri" w:hAnsi="Calibri"/>
          <w:b/>
          <w:color w:val="2563EB"/>
          <w:sz w:val="26"/>
        </w:rPr>
        <w:t>6.2 Firemní kalendáře: Kvartální výsledky a odpočet dní (Earnings Countdown)</w:t>
      </w:r>
    </w:p>
    <w:p>
      <w:pPr>
        <w:spacing w:before="0" w:after="120" w:line="276" w:lineRule="auto"/>
      </w:pPr>
      <w:r>
        <w:rPr>
          <w:rFonts w:ascii="Calibri" w:hAnsi="Calibri"/>
          <w:color w:val="1E293B"/>
          <w:sz w:val="21"/>
        </w:rPr>
        <w:t>Zveřejnění kvartálních hospodářských výsledků (Earnings) je pro akcie nejvýznamnější událostí způsobující skokové pohyby kurzu. Systém v reálném čase sleduje oficiální firemní kalendáře a počítá odpočet dní do nejbližšího reportu:</w:t>
      </w:r>
    </w:p>
    <w:p>
      <w:pPr>
        <w:pStyle w:val="ListBullet"/>
        <w:spacing w:before="0" w:after="60" w:line="276" w:lineRule="auto"/>
      </w:pPr>
      <w:r>
        <w:rPr>
          <w:rFonts w:ascii="Calibri" w:hAnsi="Calibri"/>
          <w:b/>
          <w:color w:val="1E293B"/>
          <w:sz w:val="21"/>
        </w:rPr>
        <w:t>⏳ Výsledky do 7 dní (Kritické):</w:t>
      </w:r>
      <w:r>
        <w:rPr>
          <w:rFonts w:ascii="Calibri" w:hAnsi="Calibri"/>
          <w:color w:val="1E293B"/>
          <w:sz w:val="21"/>
        </w:rPr>
        <w:t xml:space="preserve"> Výsledky budou oznámeny do 7 dnů. Zvýšená implikovaná volatilita a varování před neuváženým vstupem před čísly.</w:t>
      </w:r>
    </w:p>
    <w:p>
      <w:pPr>
        <w:pStyle w:val="ListBullet"/>
        <w:spacing w:before="0" w:after="60" w:line="276" w:lineRule="auto"/>
      </w:pPr>
      <w:r>
        <w:rPr>
          <w:rFonts w:ascii="Calibri" w:hAnsi="Calibri"/>
          <w:b/>
          <w:color w:val="1E293B"/>
          <w:sz w:val="21"/>
        </w:rPr>
        <w:t>📅 Výsledky do 21 dní (Blížící se):</w:t>
      </w:r>
      <w:r>
        <w:rPr>
          <w:rFonts w:ascii="Calibri" w:hAnsi="Calibri"/>
          <w:color w:val="1E293B"/>
          <w:sz w:val="21"/>
        </w:rPr>
        <w:t xml:space="preserve"> Výsledky za 8 až 21 dní. Fáze obvyklého předvýsledkového runupu či konsolidace.</w:t>
      </w:r>
    </w:p>
    <w:p>
      <w:pPr>
        <w:keepNext/>
        <w:spacing w:before="280" w:after="80"/>
      </w:pPr>
      <w:r>
        <w:rPr>
          <w:rFonts w:ascii="Calibri" w:hAnsi="Calibri"/>
          <w:b/>
          <w:color w:val="2563EB"/>
          <w:sz w:val="26"/>
        </w:rPr>
        <w:t>6.3 Rozhodné dny pro dividendu (Ex-Dividend Countdown)</w:t>
      </w:r>
    </w:p>
    <w:p>
      <w:pPr>
        <w:spacing w:before="0" w:after="120" w:line="276" w:lineRule="auto"/>
      </w:pPr>
      <w:r>
        <w:rPr>
          <w:rFonts w:ascii="Calibri" w:hAnsi="Calibri"/>
          <w:color w:val="1E293B"/>
          <w:sz w:val="21"/>
        </w:rPr>
        <w:t>Pro dividendové investory systém monitoruje datum Ex-Dividend (první den, kdy se akcie obchoduje bez nároku na dividendu). Pokud se Ex-Dividend blíží v horizontu 1 až 14 dnů, systém aktivuje zelený štítek '💰 Ex-Div za N dní' pro včasné zachycení výplaty.</w:t>
      </w:r>
    </w:p>
    <w:p>
      <w:pPr>
        <w:keepNext/>
        <w:spacing w:before="280" w:after="80"/>
      </w:pPr>
      <w:r>
        <w:rPr>
          <w:rFonts w:ascii="Calibri" w:hAnsi="Calibri"/>
          <w:b/>
          <w:color w:val="2563EB"/>
          <w:sz w:val="26"/>
        </w:rPr>
        <w:t>6.4 Časové delty hybnosti: 1měsíční a 3měsíční momentum</w:t>
      </w:r>
    </w:p>
    <w:p>
      <w:pPr>
        <w:spacing w:before="0" w:after="120" w:line="276" w:lineRule="auto"/>
      </w:pPr>
      <w:r>
        <w:rPr>
          <w:rFonts w:ascii="Calibri" w:hAnsi="Calibri"/>
          <w:color w:val="1E293B"/>
          <w:sz w:val="21"/>
        </w:rPr>
        <w:t>Kromě jednodenní změny systém hromadně vyhodnocuje střednědobé časové delty: 1M momentum (~21 obchodních dnů) a 3M momentum (~63 obchodních dnů). To umožňuje odlišit krátkodobý náhodný šum od skutečně udržitelného trendu podpořeného institucionálními toky.</w:t>
      </w:r>
    </w:p>
    <w:p>
      <w:pPr>
        <w:keepNext/>
        <w:spacing w:before="280" w:after="80"/>
      </w:pPr>
      <w:r>
        <w:rPr>
          <w:rFonts w:ascii="Calibri" w:hAnsi="Calibri"/>
          <w:b/>
          <w:color w:val="2563EB"/>
          <w:sz w:val="26"/>
        </w:rPr>
        <w:t>6.5 Automatický pravidlový Trigger Engine a disková mezipaměť</w:t>
      </w:r>
    </w:p>
    <w:p>
      <w:pPr>
        <w:spacing w:before="0" w:after="120" w:line="276" w:lineRule="auto"/>
      </w:pPr>
      <w:r>
        <w:rPr>
          <w:rFonts w:ascii="Calibri" w:hAnsi="Calibri"/>
          <w:color w:val="1E293B"/>
          <w:sz w:val="21"/>
        </w:rPr>
        <w:t>Aby systém dokázal bleskově zpracovat 541 aktiv bez rizika rate-limitu od poskytovatelů dat, využívá inteligentní souborovou mezipaměť (cache_fundamentals.json) s 24hodinovou expirací. Kalendáře a analytické cíle se tak dotazují jednou denně, zatímco kurzy běží v reálném čase. Všechny předstihové ukazatele jsou navíc přímo předávány do modelu Gemini, který je promítá do generovaného AI kontextu.</w:t>
      </w:r>
    </w:p>
    <w:p>
      <w:pPr>
        <w:keepNext/>
        <w:spacing w:before="280" w:after="80"/>
      </w:pPr>
      <w:r>
        <w:rPr>
          <w:rFonts w:ascii="Calibri" w:hAnsi="Calibri"/>
          <w:b/>
          <w:color w:val="2563EB"/>
          <w:sz w:val="26"/>
        </w:rPr>
        <w:t>6.6 Dlouhodobá historická persistence a SQLite časová řada (Backtesting a audit)</w:t>
      </w:r>
    </w:p>
    <w:p>
      <w:pPr>
        <w:spacing w:before="0" w:after="120" w:line="276" w:lineRule="auto"/>
      </w:pPr>
      <w:r>
        <w:rPr>
          <w:rFonts w:ascii="Calibri" w:hAnsi="Calibri"/>
          <w:color w:val="1E293B"/>
          <w:sz w:val="21"/>
        </w:rPr>
        <w:t>Pro zajištění plné auditovatelnosti a měření reálné úspěšnosti AI modelů v čase systém ukládá každý proběhlý sken do dvouúrovňové persistence:</w:t>
      </w:r>
    </w:p>
    <w:p>
      <w:pPr>
        <w:pStyle w:val="ListBullet"/>
        <w:spacing w:before="0" w:after="60" w:line="276" w:lineRule="auto"/>
      </w:pPr>
      <w:r>
        <w:rPr>
          <w:rFonts w:ascii="Calibri" w:hAnsi="Calibri"/>
          <w:b/>
          <w:color w:val="1E293B"/>
          <w:sz w:val="21"/>
        </w:rPr>
        <w:t>1. Neměnný denní JSON Data Lake (data/history/):</w:t>
      </w:r>
      <w:r>
        <w:rPr>
          <w:rFonts w:ascii="Calibri" w:hAnsi="Calibri"/>
          <w:color w:val="1E293B"/>
          <w:sz w:val="21"/>
        </w:rPr>
        <w:t xml:space="preserve"> Každý sken vygeneruje kompletní neměnný JSON soubor se všemi 541 kartami, tržními vstupy i AI zdůvodněními.</w:t>
      </w:r>
    </w:p>
    <w:p>
      <w:pPr>
        <w:pStyle w:val="ListBullet"/>
        <w:spacing w:before="0" w:after="60" w:line="276" w:lineRule="auto"/>
      </w:pPr>
      <w:r>
        <w:rPr>
          <w:rFonts w:ascii="Calibri" w:hAnsi="Calibri"/>
          <w:b/>
          <w:color w:val="1E293B"/>
          <w:sz w:val="21"/>
        </w:rPr>
        <w:t>2. Relační časová řada SQLite (history.db):</w:t>
      </w:r>
      <w:r>
        <w:rPr>
          <w:rFonts w:ascii="Calibri" w:hAnsi="Calibri"/>
          <w:color w:val="1E293B"/>
          <w:sz w:val="21"/>
        </w:rPr>
        <w:t xml:space="preserve"> Každý vydaný signál, konfidence, cena i datum kvartálních výsledků se indexují do lokální relační databáze SQLite pro bleskové analytické dotazy.</w:t>
      </w:r>
    </w:p>
    <w:p>
      <w:pPr>
        <w:pStyle w:val="ListBullet"/>
        <w:spacing w:before="0" w:after="60" w:line="276" w:lineRule="auto"/>
      </w:pPr>
      <w:r>
        <w:rPr>
          <w:rFonts w:ascii="Calibri" w:hAnsi="Calibri"/>
          <w:b/>
          <w:color w:val="1E293B"/>
          <w:sz w:val="21"/>
        </w:rPr>
        <w:t>3. Automatizovaný Backtesting:</w:t>
      </w:r>
      <w:r>
        <w:rPr>
          <w:rFonts w:ascii="Calibri" w:hAnsi="Calibri"/>
          <w:color w:val="1E293B"/>
          <w:sz w:val="21"/>
        </w:rPr>
        <w:t xml:space="preserve"> Možnost ex-post porovnat vydaná doporučení (Strong Buy / Buy) se skutečným zhodnocením podkladového aktiva po 7, 30 a 90 dnech.</w:t>
      </w:r>
    </w:p>
    <w:p>
      <w:pPr>
        <w:pStyle w:val="ListBullet"/>
        <w:spacing w:before="0" w:after="60" w:line="276" w:lineRule="auto"/>
      </w:pPr>
      <w:r>
        <w:rPr>
          <w:rFonts w:ascii="Calibri" w:hAnsi="Calibri"/>
          <w:b/>
          <w:color w:val="1E293B"/>
          <w:sz w:val="21"/>
        </w:rPr>
        <w:t>4. Vývoj sentimentu v čase:</w:t>
      </w:r>
      <w:r>
        <w:rPr>
          <w:rFonts w:ascii="Calibri" w:hAnsi="Calibri"/>
          <w:color w:val="1E293B"/>
          <w:sz w:val="21"/>
        </w:rPr>
        <w:t xml:space="preserve"> V AI tooltipu se přímo zobrazuje trajektorie sentimentu za poslední měsíc (např. Hold 55 % ➡️ Buy 72 % ➡️ Strong Buy 88 %).</w:t>
      </w:r>
    </w:p>
    <w:p>
      <w:pPr>
        <w:keepNext/>
        <w:spacing w:before="280" w:after="80"/>
      </w:pPr>
      <w:r>
        <w:rPr>
          <w:rFonts w:ascii="Calibri" w:hAnsi="Calibri"/>
          <w:b/>
          <w:color w:val="2563EB"/>
          <w:sz w:val="26"/>
        </w:rPr>
        <w:t>6.7 Institucionální Kvantitativní Model a Head of Risk Rozhodovací Matice</w:t>
      </w:r>
    </w:p>
    <w:p>
      <w:pPr>
        <w:spacing w:before="0" w:after="120" w:line="276" w:lineRule="auto"/>
      </w:pPr>
      <w:r>
        <w:rPr>
          <w:rFonts w:ascii="Calibri" w:hAnsi="Calibri"/>
          <w:color w:val="1E293B"/>
          <w:sz w:val="21"/>
        </w:rPr>
        <w:t>Vrcholnou vrstvou systému SuggestInvest je role Senior Quantitative Equity Analyst &amp; Head of Portfolio Risk. Jeho posláním není popisovat minulý vývoj kurzu, ale identifikovat asymetrické tržní příležitosti a rizika v horizontu 1 až 3 měsíců na základě nesouladu mezi tržní cenou, posunem konsenzu a časem do klíčových událostí.</w:t>
      </w:r>
    </w:p>
    <w:p>
      <w:pPr>
        <w:spacing w:before="0" w:after="120" w:line="276" w:lineRule="auto"/>
      </w:pPr>
      <w:r>
        <w:rPr>
          <w:rFonts w:ascii="Calibri" w:hAnsi="Calibri"/>
          <w:color w:val="1E293B"/>
          <w:sz w:val="21"/>
        </w:rPr>
        <w:t>A. Pravidla konsenzu, valuace a revizí:</w:t>
      </w:r>
    </w:p>
    <w:p>
      <w:pPr>
        <w:pStyle w:val="ListBullet"/>
        <w:spacing w:before="0" w:after="60" w:line="276" w:lineRule="auto"/>
      </w:pPr>
      <w:r>
        <w:rPr>
          <w:rFonts w:ascii="Calibri" w:hAnsi="Calibri"/>
          <w:b/>
          <w:color w:val="1E293B"/>
          <w:sz w:val="21"/>
        </w:rPr>
        <w:t>Fundamentální diskont (&gt; +20 %):</w:t>
      </w:r>
      <w:r>
        <w:rPr>
          <w:rFonts w:ascii="Calibri" w:hAnsi="Calibri"/>
          <w:color w:val="1E293B"/>
          <w:sz w:val="21"/>
        </w:rPr>
        <w:t xml:space="preserve"> Pokud je počet analytiků ≥ 5 a 30denní posun cílové ceny ≥ 0 %, jde o silný růstový signál (BUY / STRONG BUY). Pokud cena klesá (1M &lt; 0), ale cíl roste (Δ target 30d &gt; 0), vzniká pozitivní divergence a institucionální akumulace.</w:t>
      </w:r>
    </w:p>
    <w:p>
      <w:pPr>
        <w:pStyle w:val="ListBullet"/>
        <w:spacing w:before="0" w:after="60" w:line="276" w:lineRule="auto"/>
      </w:pPr>
      <w:r>
        <w:rPr>
          <w:rFonts w:ascii="Calibri" w:hAnsi="Calibri"/>
          <w:b/>
          <w:color w:val="1E293B"/>
          <w:sz w:val="21"/>
        </w:rPr>
        <w:t>Přepálená valuace (Tržní cena nad cílem):</w:t>
      </w:r>
      <w:r>
        <w:rPr>
          <w:rFonts w:ascii="Calibri" w:hAnsi="Calibri"/>
          <w:color w:val="1E293B"/>
          <w:sz w:val="21"/>
        </w:rPr>
        <w:t xml:space="preserve"> Pokud je Target Upside ≤ 0 %, růstový potenciál je vyčerpán. Vstupuje v platnost absolutní zákaz doporučení STRONG BUY či BUY $</w:t>
        <w:br/>
        <w:t>ightarrow$ striktně HOLD nebo SELL.</w:t>
      </w:r>
    </w:p>
    <w:p>
      <w:pPr>
        <w:spacing w:before="0" w:after="120" w:line="276" w:lineRule="auto"/>
      </w:pPr>
      <w:r>
        <w:rPr>
          <w:rFonts w:ascii="Calibri" w:hAnsi="Calibri"/>
          <w:color w:val="1E293B"/>
          <w:sz w:val="21"/>
        </w:rPr>
        <w:t>B. Událostní filtry kalendáře a limity konfidence:</w:t>
      </w:r>
    </w:p>
    <w:p>
      <w:pPr>
        <w:pStyle w:val="ListBullet"/>
        <w:spacing w:before="0" w:after="60" w:line="276" w:lineRule="auto"/>
      </w:pPr>
      <w:r>
        <w:rPr>
          <w:rFonts w:ascii="Calibri" w:hAnsi="Calibri"/>
          <w:b/>
          <w:color w:val="1E293B"/>
          <w:sz w:val="21"/>
        </w:rPr>
        <w:t>Kritické okno před výsledky (≤ 7 dní):</w:t>
      </w:r>
      <w:r>
        <w:rPr>
          <w:rFonts w:ascii="Calibri" w:hAnsi="Calibri"/>
          <w:color w:val="1E293B"/>
          <w:sz w:val="21"/>
        </w:rPr>
        <w:t xml:space="preserve"> Implikovaná volatilita roste a událost přináší binární riziko. Konfidence nesmí překročit 65 % (s výjimkou defenzivních monopolů). Automatický štítek: ⏳ Výsledky do 7 dní.</w:t>
      </w:r>
    </w:p>
    <w:p>
      <w:pPr>
        <w:pStyle w:val="ListBullet"/>
        <w:spacing w:before="0" w:after="60" w:line="276" w:lineRule="auto"/>
      </w:pPr>
      <w:r>
        <w:rPr>
          <w:rFonts w:ascii="Calibri" w:hAnsi="Calibri"/>
          <w:b/>
          <w:color w:val="1E293B"/>
          <w:sz w:val="21"/>
        </w:rPr>
        <w:t>Předvýsledkový run-up (8 až 21 dní):</w:t>
      </w:r>
      <w:r>
        <w:rPr>
          <w:rFonts w:ascii="Calibri" w:hAnsi="Calibri"/>
          <w:color w:val="1E293B"/>
          <w:sz w:val="21"/>
        </w:rPr>
        <w:t xml:space="preserve"> Pokud je 1M momentum kladné a cílová cena roste, aktivum se nachází v akumulační fázi před kvartální zprávou. Štítek: 📅 Výsledky do 21 dní.</w:t>
      </w:r>
    </w:p>
    <w:p>
      <w:pPr>
        <w:pStyle w:val="ListBullet"/>
        <w:spacing w:before="0" w:after="60" w:line="276" w:lineRule="auto"/>
      </w:pPr>
      <w:r>
        <w:rPr>
          <w:rFonts w:ascii="Calibri" w:hAnsi="Calibri"/>
          <w:b/>
          <w:color w:val="1E293B"/>
          <w:sz w:val="21"/>
        </w:rPr>
        <w:t>Dividendový trigger (≤ 14 dní):</w:t>
      </w:r>
      <w:r>
        <w:rPr>
          <w:rFonts w:ascii="Calibri" w:hAnsi="Calibri"/>
          <w:color w:val="1E293B"/>
          <w:sz w:val="21"/>
        </w:rPr>
        <w:t xml:space="preserve"> Pozice je vhodná pro akumulaci před rozhodným dnem pro výplatu. Štítek: 💰 Ex-Div za N dní.</w:t>
      </w:r>
    </w:p>
    <w:p>
      <w:pPr>
        <w:spacing w:before="0" w:after="120" w:line="276" w:lineRule="auto"/>
      </w:pPr>
      <w:r>
        <w:rPr>
          <w:rFonts w:ascii="Calibri" w:hAnsi="Calibri"/>
          <w:color w:val="1E293B"/>
          <w:sz w:val="21"/>
        </w:rPr>
        <w:t>C. Filtry trendu, obratu a řízení rizik:</w:t>
      </w:r>
    </w:p>
    <w:p>
      <w:pPr>
        <w:pStyle w:val="ListBullet"/>
        <w:spacing w:before="0" w:after="60" w:line="276" w:lineRule="auto"/>
      </w:pPr>
      <w:r>
        <w:rPr>
          <w:rFonts w:ascii="Calibri" w:hAnsi="Calibri"/>
          <w:b/>
          <w:color w:val="1E293B"/>
          <w:sz w:val="21"/>
        </w:rPr>
        <w:t>Obrat vs. Padající nůž:</w:t>
      </w:r>
      <w:r>
        <w:rPr>
          <w:rFonts w:ascii="Calibri" w:hAnsi="Calibri"/>
          <w:color w:val="1E293B"/>
          <w:sz w:val="21"/>
        </w:rPr>
        <w:t xml:space="preserve"> Test 52w minima (vzdálenost &lt; 70 % od maxima) s propadem cílové ceny (Δ target 30d &lt; -5 %) indikuje strukturální destrukci hodnoty $</w:t>
        <w:br/>
        <w:t>ightarrow$ SELL či STRONG SELL. Test minima se stabilním cílem a rostoucím momentem značí obrat $</w:t>
        <w:br/>
        <w:t>ightarrow$ BUY.</w:t>
      </w:r>
    </w:p>
    <w:p>
      <w:pPr>
        <w:pStyle w:val="ListBullet"/>
        <w:spacing w:before="0" w:after="60" w:line="276" w:lineRule="auto"/>
      </w:pPr>
      <w:r>
        <w:rPr>
          <w:rFonts w:ascii="Calibri" w:hAnsi="Calibri"/>
          <w:b/>
          <w:color w:val="1E293B"/>
          <w:sz w:val="21"/>
        </w:rPr>
        <w:t>Kontrola tržního šumu:</w:t>
      </w:r>
      <w:r>
        <w:rPr>
          <w:rFonts w:ascii="Calibri" w:hAnsi="Calibri"/>
          <w:color w:val="1E293B"/>
          <w:sz w:val="21"/>
        </w:rPr>
        <w:t xml:space="preserve"> Denní skoky o více než ±3 % systém ignoruje, pokud nejsou v souladu s 1M momentem nebo novou fundamentální zprávou.</w:t>
      </w:r>
    </w:p>
    <w:p>
      <w:pPr>
        <w:spacing w:before="0" w:after="120" w:line="276" w:lineRule="auto"/>
      </w:pPr>
      <w:r>
        <w:rPr>
          <w:rFonts w:ascii="Calibri" w:hAnsi="Calibri"/>
          <w:color w:val="1E293B"/>
          <w:sz w:val="21"/>
        </w:rPr>
        <w:t>D. Pětistupňová hierarchie signálů a Invalidation Price:</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Shoda silného 1M/3M trendu, diskont k cílové ceně &gt; 20 % a pozitivní revize odhadů.</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asymetrie výnosu a rizika, zdravý diskont k cíli, žádné binární riziko do 7 dnů.</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Vyčerpaný potenciál k cílové ceně, konsolidace nebo výsledky v horizontu do 7 dnů.</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Tržní kurz nad cílem analytiků, zhoršující se momentum nebo negativní revize odhadů.</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Ztráta fundamentu, prolomení podpory a masivní snižování cílových cen analytiky.</w:t>
      </w:r>
    </w:p>
    <w:p>
      <w:pPr>
        <w:pStyle w:val="ListBullet"/>
        <w:spacing w:before="0" w:after="60" w:line="276" w:lineRule="auto"/>
      </w:pPr>
      <w:r>
        <w:rPr>
          <w:rFonts w:ascii="Calibri" w:hAnsi="Calibri"/>
          <w:b/>
          <w:color w:val="1E293B"/>
          <w:sz w:val="21"/>
        </w:rPr>
        <w:t>🛑 Invalidation Price (Stop-Loss):</w:t>
      </w:r>
      <w:r>
        <w:rPr>
          <w:rFonts w:ascii="Calibri" w:hAnsi="Calibri"/>
          <w:color w:val="1E293B"/>
          <w:sz w:val="21"/>
        </w:rPr>
        <w:t xml:space="preserve"> Exaktní číselná hladina (stop-loss úroveň), při jejímž prolomení celá investiční teze zaniká.</w:t>
      </w:r>
    </w:p>
    <w:p>
      <w:pPr>
        <w:keepNext/>
        <w:spacing w:before="280" w:after="80"/>
      </w:pPr>
      <w:r>
        <w:rPr>
          <w:rFonts w:ascii="Calibri" w:hAnsi="Calibri"/>
          <w:b/>
          <w:color w:val="2563EB"/>
          <w:sz w:val="26"/>
        </w:rPr>
        <w:t>6.8 Kvantitativní Analýza Dividendových Anomálií (Ex-Date Recovery Velocity)</w:t>
      </w:r>
    </w:p>
    <w:p>
      <w:pPr>
        <w:spacing w:before="0" w:after="120" w:line="276" w:lineRule="auto"/>
      </w:pPr>
      <w:r>
        <w:rPr>
          <w:rFonts w:ascii="Calibri" w:hAnsi="Calibri"/>
          <w:color w:val="1E293B"/>
          <w:sz w:val="21"/>
        </w:rPr>
        <w:t>Trh v den Ex-Dividend automaticky koriguje otevírací kurz o výši přiznané dividendy. V reálném obchodování však vzniká statistická asymetrie daná chováním investorů, daňovým zatížením a rychlostí uzavření cenového gapu. SuggestInvest provádí rigorózní kvantitativní analýzu posledních 4 až 8 historických Ex-Dates a vyhodnocuje dvě protichůdné strategie:</w:t>
      </w:r>
    </w:p>
    <w:p>
      <w:pPr>
        <w:spacing w:before="0" w:after="120" w:line="276" w:lineRule="auto"/>
      </w:pPr>
      <w:r>
        <w:rPr>
          <w:rFonts w:ascii="Calibri" w:hAnsi="Calibri"/>
          <w:color w:val="1E293B"/>
          <w:sz w:val="21"/>
        </w:rPr>
        <w:t>A. Měřené statistické metriky:</w:t>
      </w:r>
    </w:p>
    <w:p>
      <w:pPr>
        <w:pStyle w:val="ListBullet"/>
        <w:spacing w:before="0" w:after="60" w:line="276" w:lineRule="auto"/>
      </w:pPr>
      <w:r>
        <w:rPr>
          <w:rFonts w:ascii="Calibri" w:hAnsi="Calibri"/>
          <w:b/>
          <w:color w:val="1E293B"/>
          <w:sz w:val="21"/>
        </w:rPr>
        <w:t>Dividend Drop-Off Ratio (DDR):</w:t>
      </w:r>
      <w:r>
        <w:rPr>
          <w:rFonts w:ascii="Calibri" w:hAnsi="Calibri"/>
          <w:color w:val="1E293B"/>
          <w:sz w:val="21"/>
        </w:rPr>
        <w:t xml:space="preserve"> Poměr reálného poklesu kurzu k výši dividendy. Hodnota &lt; 1.0 indikuje nákupní polštář a silnou poptávku.</w:t>
      </w:r>
    </w:p>
    <w:p>
      <w:pPr>
        <w:pStyle w:val="ListBullet"/>
        <w:spacing w:before="0" w:after="60" w:line="276" w:lineRule="auto"/>
      </w:pPr>
      <w:r>
        <w:rPr>
          <w:rFonts w:ascii="Calibri" w:hAnsi="Calibri"/>
          <w:b/>
          <w:color w:val="1E293B"/>
          <w:sz w:val="21"/>
        </w:rPr>
        <w:t>Pre-Ex Run-up Momentum (20d):</w:t>
      </w:r>
      <w:r>
        <w:rPr>
          <w:rFonts w:ascii="Calibri" w:hAnsi="Calibri"/>
          <w:color w:val="1E293B"/>
          <w:sz w:val="21"/>
        </w:rPr>
        <w:t xml:space="preserve"> Průměrný kapitálový zisk akcie v období 20 obchodních dní před Ex-Date (institucionální i retailová akumulace před rozhodným dnem).</w:t>
      </w:r>
    </w:p>
    <w:p>
      <w:pPr>
        <w:pStyle w:val="ListBullet"/>
        <w:spacing w:before="0" w:after="60" w:line="276" w:lineRule="auto"/>
      </w:pPr>
      <w:r>
        <w:rPr>
          <w:rFonts w:ascii="Calibri" w:hAnsi="Calibri"/>
          <w:b/>
          <w:color w:val="1E293B"/>
          <w:sz w:val="21"/>
        </w:rPr>
        <w:t>Recovery Velocity (T_rec):</w:t>
      </w:r>
      <w:r>
        <w:rPr>
          <w:rFonts w:ascii="Calibri" w:hAnsi="Calibri"/>
          <w:color w:val="1E293B"/>
          <w:sz w:val="21"/>
        </w:rPr>
        <w:t xml:space="preserve"> Procento historických výplat, kdy se kurz vrátil na cum-dividend cenu do 15 a 30 obchodních dní, včetně mediánu počtu dní potřebných ke smazání gapu.</w:t>
      </w:r>
    </w:p>
    <w:p>
      <w:pPr>
        <w:spacing w:before="0" w:after="120" w:line="276" w:lineRule="auto"/>
      </w:pPr>
      <w:r>
        <w:rPr>
          <w:rFonts w:ascii="Calibri" w:hAnsi="Calibri"/>
          <w:color w:val="1E293B"/>
          <w:sz w:val="21"/>
        </w:rPr>
        <w:t>B. Rozhodovací logika dividendového doporučení:</w:t>
      </w:r>
    </w:p>
    <w:p>
      <w:pPr>
        <w:pStyle w:val="ListBullet"/>
        <w:spacing w:before="0" w:after="60" w:line="276" w:lineRule="auto"/>
      </w:pPr>
      <w:r>
        <w:rPr>
          <w:rFonts w:ascii="Calibri" w:hAnsi="Calibri"/>
          <w:b/>
          <w:color w:val="1E293B"/>
          <w:sz w:val="21"/>
        </w:rPr>
        <w:t>🟢 Držet přes Ex-Div (Dividend Capture):</w:t>
      </w:r>
      <w:r>
        <w:rPr>
          <w:rFonts w:ascii="Calibri" w:hAnsi="Calibri"/>
          <w:color w:val="1E293B"/>
          <w:sz w:val="21"/>
        </w:rPr>
        <w:t xml:space="preserve"> Pokud se kurz v ≥ 65 % případů zotaví do 15 obchodních dní s mediánem ≤ 15 dní. Titul má silnou absorpci a vyplatí se pozici držet přes Ex-Date, inkasovat dividendu a vyčkat na smazání gapu.</w:t>
      </w:r>
    </w:p>
    <w:p>
      <w:pPr>
        <w:pStyle w:val="ListBullet"/>
        <w:spacing w:before="0" w:after="60" w:line="276" w:lineRule="auto"/>
      </w:pPr>
      <w:r>
        <w:rPr>
          <w:rFonts w:ascii="Calibri" w:hAnsi="Calibri"/>
          <w:b/>
          <w:color w:val="1E293B"/>
          <w:sz w:val="21"/>
        </w:rPr>
        <w:t>🟡 Prodat před Ex-Div (Run-up Harvest):</w:t>
      </w:r>
      <w:r>
        <w:rPr>
          <w:rFonts w:ascii="Calibri" w:hAnsi="Calibri"/>
          <w:color w:val="1E293B"/>
          <w:sz w:val="21"/>
        </w:rPr>
        <w:t xml:space="preserve"> Pokud průměrný předexový růst (20d) dosahuje alespoň 1.5 % a převyšuje dividendový výnos, ale historické zotavení po Ex-Date je pomalé (≤ 40 % do 15 dní). Výhodnější je prodat 1–2 dny před Ex-Date, realizovat kapitálový zisk bez srážkové daně a vyhnout se post-dividendovému propadu.</w:t>
      </w:r>
    </w:p>
    <w:p>
      <w:pPr>
        <w:pStyle w:val="ListBullet"/>
        <w:spacing w:before="0" w:after="60" w:line="276" w:lineRule="auto"/>
      </w:pPr>
      <w:r>
        <w:rPr>
          <w:rFonts w:ascii="Calibri" w:hAnsi="Calibri"/>
          <w:b/>
          <w:color w:val="1E293B"/>
          <w:sz w:val="21"/>
        </w:rPr>
        <w:t>⚪ Běžný průběh (Neutrální):</w:t>
      </w:r>
      <w:r>
        <w:rPr>
          <w:rFonts w:ascii="Calibri" w:hAnsi="Calibri"/>
          <w:color w:val="1E293B"/>
          <w:sz w:val="21"/>
        </w:rPr>
        <w:t xml:space="preserve"> Běžná tržní fluktuace bez průkazné statistické anomálie.</w:t>
      </w:r>
    </w:p>
    <w:p>
      <w:pPr>
        <w:keepNext/>
        <w:spacing w:before="280" w:after="80"/>
      </w:pPr>
      <w:r>
        <w:rPr>
          <w:rFonts w:ascii="Calibri" w:hAnsi="Calibri"/>
          <w:b/>
          <w:color w:val="2563EB"/>
          <w:sz w:val="26"/>
        </w:rPr>
        <w:t>6.9 Denní sledování změn a detekce tržních obratů (Daily Delta &amp; Change Tracker)</w:t>
      </w:r>
    </w:p>
    <w:p>
      <w:pPr>
        <w:spacing w:before="0" w:after="120" w:line="276" w:lineRule="auto"/>
      </w:pPr>
      <w:r>
        <w:rPr>
          <w:rFonts w:ascii="Calibri" w:hAnsi="Calibri"/>
          <w:color w:val="1E293B"/>
          <w:sz w:val="21"/>
        </w:rPr>
        <w:t>V dynamickém tržním prostředí není nejdůležitější statický stav aktiva, ale jeho okamžitá derivace – tedy rychlost a směr změny sentimentu. Pokud se doporučení pro titul změní ze dne na den, jde o primární signál pro pozornost portfoliomanažera. Systém SuggestInvest proto při každém ranním skenu automaticky porovnává nově vygenerovaný stav s referenčním skenem z předchozího obchodního dne (uloženým v SQLite databázi history.db).</w:t>
      </w:r>
    </w:p>
    <w:p>
      <w:pPr>
        <w:spacing w:before="0" w:after="120" w:line="276" w:lineRule="auto"/>
      </w:pPr>
      <w:r>
        <w:rPr>
          <w:rFonts w:ascii="Calibri" w:hAnsi="Calibri"/>
          <w:color w:val="1E293B"/>
          <w:sz w:val="21"/>
        </w:rPr>
        <w:t>A. Klasifikace denních posunů (Change Types):</w:t>
      </w:r>
    </w:p>
    <w:p>
      <w:pPr>
        <w:pStyle w:val="ListBullet"/>
        <w:spacing w:before="0" w:after="60" w:line="276" w:lineRule="auto"/>
      </w:pPr>
      <w:r>
        <w:rPr>
          <w:rFonts w:ascii="Calibri" w:hAnsi="Calibri"/>
          <w:b/>
          <w:color w:val="1E293B"/>
          <w:sz w:val="21"/>
        </w:rPr>
        <w:t>Zvýšení doporučení (Rating Upgrade):</w:t>
      </w:r>
      <w:r>
        <w:rPr>
          <w:rFonts w:ascii="Calibri" w:hAnsi="Calibri"/>
          <w:color w:val="1E293B"/>
          <w:sz w:val="21"/>
        </w:rPr>
        <w:t xml:space="preserve"> Posun v pětistupňové hierarchii směrem nahoru (např. HOLD ➜ BUY, BUY ➜ STRONG BUY). Indikuje nově potvrzený fundamentální impuls, průlom rezistence nebo skokový nárůst odhadů analytiků. Zelený odznak: ⬆️ UPGRADE.</w:t>
      </w:r>
    </w:p>
    <w:p>
      <w:pPr>
        <w:pStyle w:val="ListBullet"/>
        <w:spacing w:before="0" w:after="60" w:line="276" w:lineRule="auto"/>
      </w:pPr>
      <w:r>
        <w:rPr>
          <w:rFonts w:ascii="Calibri" w:hAnsi="Calibri"/>
          <w:b/>
          <w:color w:val="1E293B"/>
          <w:sz w:val="21"/>
        </w:rPr>
        <w:t>Snížení doporučení (Rating Downgrade):</w:t>
      </w:r>
      <w:r>
        <w:rPr>
          <w:rFonts w:ascii="Calibri" w:hAnsi="Calibri"/>
          <w:color w:val="1E293B"/>
          <w:sz w:val="21"/>
        </w:rPr>
        <w:t xml:space="preserve"> Posun v pětistupňové hierarchii směrem dolů (např. BUY ➜ HOLD, HOLD ➜ SELL). Varuje před vyčerpaným růstovým potenciálem, překročením cílové ceny nebo blížícím se binárním rizikem výsledků. Červený odznak: ⬇️ DOWNGRADE.</w:t>
      </w:r>
    </w:p>
    <w:p>
      <w:pPr>
        <w:pStyle w:val="ListBullet"/>
        <w:spacing w:before="0" w:after="60" w:line="276" w:lineRule="auto"/>
      </w:pPr>
      <w:r>
        <w:rPr>
          <w:rFonts w:ascii="Calibri" w:hAnsi="Calibri"/>
          <w:b/>
          <w:color w:val="1E293B"/>
          <w:sz w:val="21"/>
        </w:rPr>
        <w:t>Významný skok konfidence (Confidence Velocity):</w:t>
      </w:r>
      <w:r>
        <w:rPr>
          <w:rFonts w:ascii="Calibri" w:hAnsi="Calibri"/>
          <w:color w:val="1E293B"/>
          <w:sz w:val="21"/>
        </w:rPr>
        <w:t xml:space="preserve"> Změna míry jistoty modelu o více než ±10 procentních bodů při stejném signálu. Odráží zrychlení přílivu kapitálu nebo naopak rostoucí makroekonomickou nejistotu. Tyrkysový odznak: ⚡ +N% CONF, resp. žlutý: ⚠️ -N% CONF.</w:t>
      </w:r>
    </w:p>
    <w:p>
      <w:pPr>
        <w:pStyle w:val="ListBullet"/>
        <w:spacing w:before="0" w:after="60" w:line="276" w:lineRule="auto"/>
      </w:pPr>
      <w:r>
        <w:rPr>
          <w:rFonts w:ascii="Calibri" w:hAnsi="Calibri"/>
          <w:b/>
          <w:color w:val="1E293B"/>
          <w:sz w:val="21"/>
        </w:rPr>
        <w:t>Revize cílové ceny (Target Shift):</w:t>
      </w:r>
      <w:r>
        <w:rPr>
          <w:rFonts w:ascii="Calibri" w:hAnsi="Calibri"/>
          <w:color w:val="1E293B"/>
          <w:sz w:val="21"/>
        </w:rPr>
        <w:t xml:space="preserve"> Skoková změna konsenzuální cílové ceny analytiků z Wall Street o více než ±8 % (např. po vlně nových analytických doporučení). Fialový odznak: 🎯 ±N% CÍL.</w:t>
      </w:r>
    </w:p>
    <w:p>
      <w:pPr>
        <w:pStyle w:val="ListBullet"/>
        <w:spacing w:before="0" w:after="60" w:line="276" w:lineRule="auto"/>
      </w:pPr>
      <w:r>
        <w:rPr>
          <w:rFonts w:ascii="Calibri" w:hAnsi="Calibri"/>
          <w:b/>
          <w:color w:val="1E293B"/>
          <w:sz w:val="21"/>
        </w:rPr>
        <w:t>Aktivace nového katalyzátoru (New Catalyst):</w:t>
      </w:r>
      <w:r>
        <w:rPr>
          <w:rFonts w:ascii="Calibri" w:hAnsi="Calibri"/>
          <w:color w:val="1E293B"/>
          <w:sz w:val="21"/>
        </w:rPr>
        <w:t xml:space="preserve"> Detekce nově aktivovaného spouštěče v reálném čase (např. vstup do okna 7 dnů před výsledky, blížící se rozhodný den pro dividendu, test 52týdenního maxima). Růžový odznak: 🔥 KATALYZÁTOR.</w:t>
      </w:r>
    </w:p>
    <w:p>
      <w:pPr>
        <w:pStyle w:val="ListBullet"/>
        <w:spacing w:before="0" w:after="60" w:line="276" w:lineRule="auto"/>
      </w:pPr>
      <w:r>
        <w:rPr>
          <w:rFonts w:ascii="Calibri" w:hAnsi="Calibri"/>
          <w:b/>
          <w:color w:val="1E293B"/>
          <w:sz w:val="21"/>
        </w:rPr>
        <w:t>Nové aktivum v univerzu (New Asset):</w:t>
      </w:r>
      <w:r>
        <w:rPr>
          <w:rFonts w:ascii="Calibri" w:hAnsi="Calibri"/>
          <w:color w:val="1E293B"/>
          <w:sz w:val="21"/>
        </w:rPr>
        <w:t xml:space="preserve"> Titul, který nebyl v předchozím skenu zahrnut (nové IPO, přidání do univerza). Modrý odznak: ✨ NOVÉ.</w:t>
      </w:r>
    </w:p>
    <w:p>
      <w:pPr>
        <w:spacing w:before="0" w:after="120" w:line="276" w:lineRule="auto"/>
      </w:pPr>
      <w:r>
        <w:rPr>
          <w:rFonts w:ascii="Calibri" w:hAnsi="Calibri"/>
          <w:color w:val="1E293B"/>
          <w:sz w:val="21"/>
        </w:rPr>
        <w:t>B. Využití v uživatelském rozhraní a ranní rutině:</w:t>
      </w:r>
    </w:p>
    <w:p>
      <w:pPr>
        <w:pStyle w:val="ListBullet"/>
        <w:spacing w:before="0" w:after="60" w:line="276" w:lineRule="auto"/>
      </w:pPr>
      <w:r>
        <w:rPr>
          <w:rFonts w:ascii="Calibri" w:hAnsi="Calibri"/>
          <w:b/>
          <w:color w:val="1E293B"/>
          <w:sz w:val="21"/>
        </w:rPr>
        <w:t>Jednoklikový filtr změn:</w:t>
      </w:r>
      <w:r>
        <w:rPr>
          <w:rFonts w:ascii="Calibri" w:hAnsi="Calibri"/>
          <w:color w:val="1E293B"/>
          <w:sz w:val="21"/>
        </w:rPr>
        <w:t xml:space="preserve"> V záhlaví aplikace i ve filtračním panelu je k dispozici dedikovaná sekce '⚡ Posuny od včerejška'. Investor jedním kliknutím odfiltruje pouze upgrady, downgrady či skoky konfidence a nemusí procházet všech 541 aktiv.</w:t>
      </w:r>
    </w:p>
    <w:p>
      <w:pPr>
        <w:pStyle w:val="ListBullet"/>
        <w:spacing w:before="0" w:after="60" w:line="276" w:lineRule="auto"/>
      </w:pPr>
      <w:r>
        <w:rPr>
          <w:rFonts w:ascii="Calibri" w:hAnsi="Calibri"/>
          <w:b/>
          <w:color w:val="1E293B"/>
          <w:sz w:val="21"/>
        </w:rPr>
        <w:t>Vizuální označení v tabulce:</w:t>
      </w:r>
      <w:r>
        <w:rPr>
          <w:rFonts w:ascii="Calibri" w:hAnsi="Calibri"/>
          <w:color w:val="1E293B"/>
          <w:sz w:val="21"/>
        </w:rPr>
        <w:t xml:space="preserve"> V tabulce aktiv je přímo pod signálem zobrazen výrazný barevný mikroodznak indikující přesný typ posunu.</w:t>
      </w:r>
    </w:p>
    <w:p>
      <w:pPr>
        <w:pStyle w:val="ListBullet"/>
        <w:spacing w:before="0" w:after="60" w:line="276" w:lineRule="auto"/>
      </w:pPr>
      <w:r>
        <w:rPr>
          <w:rFonts w:ascii="Calibri" w:hAnsi="Calibri"/>
          <w:b/>
          <w:color w:val="1E293B"/>
          <w:sz w:val="21"/>
        </w:rPr>
        <w:t>Detailní komparativní blok:</w:t>
      </w:r>
      <w:r>
        <w:rPr>
          <w:rFonts w:ascii="Calibri" w:hAnsi="Calibri"/>
          <w:color w:val="1E293B"/>
          <w:sz w:val="21"/>
        </w:rPr>
        <w:t xml:space="preserve"> V kontextovém AI tooltipu (tlačítko 💡 Kontext) se při najetí myši na první pozici zobrazí detailní srovnávací box obsahující textové vysvětlení důvodu změny, posun bodů konfidence a přehledný tok signálu (např. HOLD (65 %) ➜ BUY (82 %)).</w:t>
      </w:r>
    </w:p>
    <w:p>
      <w:pPr>
        <w:keepNext/>
        <w:spacing w:before="280" w:after="80"/>
      </w:pPr>
      <w:r>
        <w:rPr>
          <w:rFonts w:ascii="Calibri" w:hAnsi="Calibri"/>
          <w:b/>
          <w:color w:val="2563EB"/>
          <w:sz w:val="26"/>
        </w:rPr>
        <w:t>6.10 Kvantitativní a výzkumné modely (Research Foundation &amp; Advanced Quant Engine)</w:t>
      </w:r>
    </w:p>
    <w:p>
      <w:pPr>
        <w:spacing w:before="0" w:after="120" w:line="276" w:lineRule="auto"/>
      </w:pPr>
      <w:r>
        <w:rPr>
          <w:rFonts w:ascii="Calibri" w:hAnsi="Calibri"/>
          <w:color w:val="1E293B"/>
          <w:sz w:val="21"/>
        </w:rPr>
        <w:t>V rámci modernizace analytického jádra SuggestInvest byly do systému integrovány klíčové poznatky ze 7 špičkových akademických a institucionálních výzkumných prací z oblasti kvantitativních financí, statistické arbitráže a algoritmického řízení rizik. Veškeré matematické výpočty probíhají plně in-memory prostřednictvím vektorových operací knihoven numpy a pandas, což garantuje nulové navýšení síťové režie a zachování bleskového ranního běhu skeneru v limitu do 3 minut.</w:t>
      </w:r>
    </w:p>
    <w:p>
      <w:pPr>
        <w:spacing w:before="0" w:after="120" w:line="276" w:lineRule="auto"/>
      </w:pPr>
      <w:r>
        <w:rPr>
          <w:rFonts w:ascii="Calibri" w:hAnsi="Calibri"/>
          <w:color w:val="1E293B"/>
          <w:sz w:val="21"/>
        </w:rPr>
        <w:t>A. Dynamická adaptivní invalidace (Adaptive Volatility Stop-Loss &amp; VaR 99%):</w:t>
      </w:r>
    </w:p>
    <w:p>
      <w:pPr>
        <w:spacing w:before="0" w:after="120" w:line="276" w:lineRule="auto"/>
      </w:pPr>
      <w:r>
        <w:rPr>
          <w:rFonts w:ascii="Calibri" w:hAnsi="Calibri"/>
          <w:color w:val="1E293B"/>
          <w:sz w:val="21"/>
        </w:rPr>
        <w:t>Původní statický Stop-Loss (-8 % pro všechna aktiva) byl nahrazen dynamickým modelem odvozeným z principů studií HARN a Universal Diffusion. Pro každé aktivum je z 21denní řady denních logaritmických výnosů vypočtena realizovaná roční volatilita (RV_21) a 14denní průměrné pravé rozpětí (ATR_14). Jednodenní parametrický Value-at-Risk na hladině spolehlivosti 99 % je definován jako:</w:t>
      </w:r>
    </w:p>
    <w:p>
      <w:pPr>
        <w:pStyle w:val="ListBullet"/>
        <w:spacing w:before="0" w:after="60" w:line="276" w:lineRule="auto"/>
      </w:pPr>
      <w:r>
        <w:rPr>
          <w:rFonts w:ascii="Calibri" w:hAnsi="Calibri"/>
          <w:b/>
          <w:color w:val="1E293B"/>
          <w:sz w:val="21"/>
        </w:rPr>
        <w:t>1. Výpočet denní volatility:</w:t>
      </w:r>
      <w:r>
        <w:rPr>
          <w:rFonts w:ascii="Calibri" w:hAnsi="Calibri"/>
          <w:color w:val="1E293B"/>
          <w:sz w:val="21"/>
        </w:rPr>
        <w:t xml:space="preserve"> σ_daily = std(ln(P_t / P_{t-1}))_{21}, přičemž roční RV_21 = σ_daily × √252.</w:t>
      </w:r>
    </w:p>
    <w:p>
      <w:pPr>
        <w:pStyle w:val="ListBullet"/>
        <w:spacing w:before="0" w:after="60" w:line="276" w:lineRule="auto"/>
      </w:pPr>
      <w:r>
        <w:rPr>
          <w:rFonts w:ascii="Calibri" w:hAnsi="Calibri"/>
          <w:b/>
          <w:color w:val="1E293B"/>
          <w:sz w:val="21"/>
        </w:rPr>
        <w:t>2. Parametrický 99% VaR:</w:t>
      </w:r>
      <w:r>
        <w:rPr>
          <w:rFonts w:ascii="Calibri" w:hAnsi="Calibri"/>
          <w:color w:val="1E293B"/>
          <w:sz w:val="21"/>
        </w:rPr>
        <w:t xml:space="preserve"> VaR_{99%, 1d} = 2.33 × σ_daily. Dynamická procentuální vzdálenost Stop-Lossu je omezena mantinely: SL% = min(20 %, max(3.5 %, VaR_{99%, 1d})).</w:t>
      </w:r>
    </w:p>
    <w:p>
      <w:pPr>
        <w:pStyle w:val="ListBullet"/>
        <w:spacing w:before="0" w:after="60" w:line="276" w:lineRule="auto"/>
      </w:pPr>
      <w:r>
        <w:rPr>
          <w:rFonts w:ascii="Calibri" w:hAnsi="Calibri"/>
          <w:b/>
          <w:color w:val="1E293B"/>
          <w:sz w:val="21"/>
        </w:rPr>
        <w:t>3. Adaptivní cenová hladina:</w:t>
      </w:r>
      <w:r>
        <w:rPr>
          <w:rFonts w:ascii="Calibri" w:hAnsi="Calibri"/>
          <w:color w:val="1E293B"/>
          <w:sz w:val="21"/>
        </w:rPr>
        <w:t xml:space="preserve"> P_{invalidation} = P_0 × (1 - SL%). Defenzivní nízkovolatilní akcie (např. ČEZ s RV 11.2 %) získávají těsný Stop-Loss na úrovni -3.7 %, standardní blue-chips (např. Apple s RV 21.8 %) -7.2 %, a vysoce volatilní technologické růstové tituly (např. Nvidia s RV 42.3 %) -13.9 %. Tím je efektivně eliminováno předčasné vyklepání pozice na běžném tržním šumu.</w:t>
      </w:r>
    </w:p>
    <w:p>
      <w:pPr>
        <w:spacing w:before="0" w:after="120" w:line="276" w:lineRule="auto"/>
      </w:pPr>
      <w:r>
        <w:rPr>
          <w:rFonts w:ascii="Calibri" w:hAnsi="Calibri"/>
          <w:color w:val="1E293B"/>
          <w:sz w:val="21"/>
        </w:rPr>
        <w:t>B. Nové katalyzátory a anomálie tržního mikroprostředí:</w:t>
      </w:r>
    </w:p>
    <w:p>
      <w:pPr>
        <w:pStyle w:val="ListBullet"/>
        <w:spacing w:before="0" w:after="60" w:line="276" w:lineRule="auto"/>
      </w:pPr>
      <w:r>
        <w:rPr>
          <w:rFonts w:ascii="Calibri" w:hAnsi="Calibri"/>
          <w:b/>
          <w:color w:val="1E293B"/>
          <w:sz w:val="21"/>
        </w:rPr>
        <w:t>1. Objemový šok (CAT_VOLUME_SHOCK):</w:t>
      </w:r>
      <w:r>
        <w:rPr>
          <w:rFonts w:ascii="Calibri" w:hAnsi="Calibri"/>
          <w:color w:val="1E293B"/>
          <w:sz w:val="21"/>
        </w:rPr>
        <w:t xml:space="preserve"> Standardizované Z-skóre denního objemu z_v = (V_t - μ_V) / σ_V vůči 21dennímu průměru. Pokud z_v ≥ 2.0 a denní změna ceny je kladná (ΔP &gt; 0), model identifikuje institucionální absorpci a příliv velkého kapitálu ještě před zveřejněním zpráv. Fialový odznak: ⚡ Objemový šok (X.Xσ). Vychází z výzkumu LiMT (Liquidity &amp; Momentum Thresholding).</w:t>
      </w:r>
    </w:p>
    <w:p>
      <w:pPr>
        <w:pStyle w:val="ListBullet"/>
        <w:spacing w:before="0" w:after="60" w:line="276" w:lineRule="auto"/>
      </w:pPr>
      <w:r>
        <w:rPr>
          <w:rFonts w:ascii="Calibri" w:hAnsi="Calibri"/>
          <w:b/>
          <w:color w:val="1E293B"/>
          <w:sz w:val="21"/>
        </w:rPr>
        <w:t>2. Sentimentová divergence (CAT_SENTIMENT_DIVERGENCE):</w:t>
      </w:r>
      <w:r>
        <w:rPr>
          <w:rFonts w:ascii="Calibri" w:hAnsi="Calibri"/>
          <w:color w:val="1E293B"/>
          <w:sz w:val="21"/>
        </w:rPr>
        <w:t xml:space="preserve"> Detekce nesouladu mezi tónem zpravodajských toků z finančních médií (RSS) a cenovým chováním aktiva. Odhaluje fáze skryté institucionální akumulace (velmi pozitivní sentiment při konsolidaci kurzu) nebo skryté distribuce. Tyrkysový odznak: 🧠 Sentimentová divergence. Vychází z výzkumu AI &amp; NLP Trading Models.</w:t>
      </w:r>
    </w:p>
    <w:p>
      <w:pPr>
        <w:pStyle w:val="ListBullet"/>
        <w:spacing w:before="0" w:after="60" w:line="276" w:lineRule="auto"/>
      </w:pPr>
      <w:r>
        <w:rPr>
          <w:rFonts w:ascii="Calibri" w:hAnsi="Calibri"/>
          <w:b/>
          <w:color w:val="1E293B"/>
          <w:sz w:val="21"/>
        </w:rPr>
        <w:t>3. Párový diskont (CAT_PAIRS_DISCOUNT):</w:t>
      </w:r>
      <w:r>
        <w:rPr>
          <w:rFonts w:ascii="Calibri" w:hAnsi="Calibri"/>
          <w:color w:val="1E293B"/>
          <w:sz w:val="21"/>
        </w:rPr>
        <w:t xml:space="preserve"> Monitorování sektorové a regionální statistické arbitráže (např. ČEZ vs. RWE/Verbund, KB vs. Erste). Pokud benchmark posiluje a párové aktivum zaostává o více než 1.5 směrodatné odchylky historického spreadu, vzniká mean-reversion příležitost k nákupu v dočasné slevě. Růžový odznak: ⚖️ Párový diskont. Vychází z výzkumu Pairs Trading in CEE Equity Markets.</w:t>
      </w:r>
    </w:p>
    <w:p>
      <w:pPr>
        <w:spacing w:before="0" w:after="120" w:line="276" w:lineRule="auto"/>
      </w:pPr>
      <w:r>
        <w:rPr>
          <w:rFonts w:ascii="Calibri" w:hAnsi="Calibri"/>
          <w:color w:val="1E293B"/>
          <w:sz w:val="21"/>
        </w:rPr>
        <w:t>C. Exekuční taktika a řízení likvidity (OrderFusion+ &amp; APO):</w:t>
      </w:r>
    </w:p>
    <w:p>
      <w:pPr>
        <w:pStyle w:val="ListBullet"/>
        <w:spacing w:before="0" w:after="60" w:line="276" w:lineRule="auto"/>
      </w:pPr>
      <w:r>
        <w:rPr>
          <w:rFonts w:ascii="Calibri" w:hAnsi="Calibri"/>
          <w:b/>
          <w:color w:val="1E293B"/>
          <w:sz w:val="21"/>
        </w:rPr>
        <w:t>1. Limitní nákupní pásmo (Quantile Limit Execution):</w:t>
      </w:r>
      <w:r>
        <w:rPr>
          <w:rFonts w:ascii="Calibri" w:hAnsi="Calibri"/>
          <w:color w:val="1E293B"/>
          <w:sz w:val="21"/>
        </w:rPr>
        <w:t xml:space="preserve"> Modelování nákupního pásma pomocí 10. percentilu denního rozpětí: P_limit = P_0 - 0.5 × ATR_14. Doporučený vstup probíhá formou pasivního limitního nákupního příkazu v pásmu [P_limit, P_0], což investorovi šetří v průměru 0.5 % až 1.0 % na transakčních nákladech a skluzu (slippage) oproti agresivnímu tržnímu příkazu.</w:t>
      </w:r>
    </w:p>
    <w:p>
      <w:pPr>
        <w:pStyle w:val="ListBullet"/>
        <w:spacing w:before="0" w:after="60" w:line="276" w:lineRule="auto"/>
      </w:pPr>
      <w:r>
        <w:rPr>
          <w:rFonts w:ascii="Calibri" w:hAnsi="Calibri"/>
          <w:b/>
          <w:color w:val="1E293B"/>
          <w:sz w:val="21"/>
        </w:rPr>
        <w:t>2. Likviditní strop pozice (2% Average Daily Turnover Cap):</w:t>
      </w:r>
      <w:r>
        <w:rPr>
          <w:rFonts w:ascii="Calibri" w:hAnsi="Calibri"/>
          <w:color w:val="1E293B"/>
          <w:sz w:val="21"/>
        </w:rPr>
        <w:t xml:space="preserve"> Pro zamezení uvíznutí kapitálu v málo likvidních emisích (např. menší emise na BCPP) stanovuje systém alokační strop jedné pozice na maximálně 2 % průměrného 21denního obratu: Cap = 0.02 × (P_0 × V_21). Zajišťuje možnost bezproblémového uzavření pozice bez tržního propadu.</w:t>
      </w:r>
    </w:p>
    <w:p>
      <w:pPr>
        <w:spacing w:before="0" w:after="120" w:line="276" w:lineRule="auto"/>
      </w:pPr>
      <w:r>
        <w:rPr>
          <w:rFonts w:ascii="Calibri" w:hAnsi="Calibri"/>
          <w:color w:val="1E293B"/>
          <w:sz w:val="21"/>
        </w:rPr>
        <w:t>D. Akademické ukotvení – Přehled 7 výzkumných prací:</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00" w:type="dxa"/>
              <w:right w:w="100" w:type="dxa"/>
            </w:tcMar>
          </w:tcPr>
          <w:p>
            <w:pPr>
              <w:spacing w:after="40"/>
            </w:pPr>
            <w:r>
              <w:rPr>
                <w:b/>
                <w:color w:val="FFFFFF"/>
                <w:sz w:val="18"/>
              </w:rPr>
              <w:t>Výzkumná práce / Zdroj</w:t>
            </w:r>
          </w:p>
        </w:tc>
        <w:tc>
          <w:tcPr>
            <w:tcW w:type="dxa" w:w="2592"/>
            <w:shd w:fill="0f172a"/>
            <w:tcMar>
              <w:top w:w="120" w:type="dxa"/>
              <w:bottom w:w="120" w:type="dxa"/>
              <w:left w:w="100" w:type="dxa"/>
              <w:right w:w="100" w:type="dxa"/>
            </w:tcMar>
          </w:tcPr>
          <w:p>
            <w:pPr>
              <w:spacing w:after="40"/>
            </w:pPr>
            <w:r>
              <w:rPr>
                <w:b/>
                <w:color w:val="FFFFFF"/>
                <w:sz w:val="18"/>
              </w:rPr>
              <w:t>Klíčový akademický koncept</w:t>
            </w:r>
          </w:p>
        </w:tc>
        <w:tc>
          <w:tcPr>
            <w:tcW w:type="dxa" w:w="2736"/>
            <w:shd w:fill="0f172a"/>
            <w:tcMar>
              <w:top w:w="120" w:type="dxa"/>
              <w:bottom w:w="120" w:type="dxa"/>
              <w:left w:w="100" w:type="dxa"/>
              <w:right w:w="100" w:type="dxa"/>
            </w:tcMar>
          </w:tcPr>
          <w:p>
            <w:pPr>
              <w:spacing w:after="40"/>
            </w:pPr>
            <w:r>
              <w:rPr>
                <w:b/>
                <w:color w:val="FFFFFF"/>
                <w:sz w:val="18"/>
              </w:rPr>
              <w:t>Implementace v SuggestInvest</w:t>
            </w:r>
          </w:p>
        </w:tc>
        <w:tc>
          <w:tcPr>
            <w:tcW w:type="dxa" w:w="2160"/>
            <w:shd w:fill="0f172a"/>
            <w:tcMar>
              <w:top w:w="120" w:type="dxa"/>
              <w:bottom w:w="120" w:type="dxa"/>
              <w:left w:w="100" w:type="dxa"/>
              <w:right w:w="100" w:type="dxa"/>
            </w:tcMar>
          </w:tcPr>
          <w:p>
            <w:pPr>
              <w:spacing w:after="40"/>
            </w:pPr>
            <w:r>
              <w:rPr>
                <w:b/>
                <w:color w:val="FFFFFF"/>
                <w:sz w:val="18"/>
              </w:rPr>
              <w:t>Přínos pro model</w:t>
            </w:r>
          </w:p>
        </w:tc>
      </w:tr>
      <w:tr>
        <w:tc>
          <w:tcPr>
            <w:tcW w:type="dxa" w:w="2592"/>
            <w:shd w:fill="f8fafc"/>
            <w:tcMar>
              <w:top w:w="80" w:type="dxa"/>
              <w:bottom w:w="80" w:type="dxa"/>
              <w:left w:w="100" w:type="dxa"/>
              <w:right w:w="100" w:type="dxa"/>
            </w:tcMar>
          </w:tcPr>
          <w:p>
            <w:pPr>
              <w:spacing w:after="40"/>
            </w:pPr>
            <w:r>
              <w:rPr>
                <w:b/>
                <w:sz w:val="17"/>
              </w:rPr>
              <w:t>HARN: Hierarchical Adaptive Risk Networks</w:t>
            </w:r>
          </w:p>
        </w:tc>
        <w:tc>
          <w:tcPr>
            <w:tcW w:type="dxa" w:w="2592"/>
            <w:shd w:fill="f8fafc"/>
            <w:tcMar>
              <w:top w:w="80" w:type="dxa"/>
              <w:bottom w:w="80" w:type="dxa"/>
              <w:left w:w="100" w:type="dxa"/>
              <w:right w:w="100" w:type="dxa"/>
            </w:tcMar>
          </w:tcPr>
          <w:p>
            <w:pPr>
              <w:spacing w:after="40"/>
            </w:pPr>
            <w:r>
              <w:rPr>
                <w:sz w:val="17"/>
              </w:rPr>
              <w:t>Hierarchické stochastické sítě modelující volatilitu v různých časových škálách.</w:t>
            </w:r>
          </w:p>
        </w:tc>
        <w:tc>
          <w:tcPr>
            <w:tcW w:type="dxa" w:w="2736"/>
            <w:shd w:fill="f8fafc"/>
            <w:tcMar>
              <w:top w:w="80" w:type="dxa"/>
              <w:bottom w:w="80" w:type="dxa"/>
              <w:left w:w="100" w:type="dxa"/>
              <w:right w:w="100" w:type="dxa"/>
            </w:tcMar>
          </w:tcPr>
          <w:p>
            <w:pPr>
              <w:spacing w:after="40"/>
            </w:pPr>
            <w:r>
              <w:rPr>
                <w:sz w:val="17"/>
              </w:rPr>
              <w:t>Dynamický Stop-Loss počítaný z 99% 1d VaR a RV_21 namísto fixních -8 %.</w:t>
            </w:r>
          </w:p>
        </w:tc>
        <w:tc>
          <w:tcPr>
            <w:tcW w:type="dxa" w:w="2160"/>
            <w:shd w:fill="f8fafc"/>
            <w:tcMar>
              <w:top w:w="80" w:type="dxa"/>
              <w:bottom w:w="80" w:type="dxa"/>
              <w:left w:w="100" w:type="dxa"/>
              <w:right w:w="100" w:type="dxa"/>
            </w:tcMar>
          </w:tcPr>
          <w:p>
            <w:pPr>
              <w:spacing w:after="40"/>
            </w:pPr>
            <w:r>
              <w:rPr>
                <w:sz w:val="17"/>
              </w:rPr>
              <w:t>Zabránění zbytečným ztrátám na šumu, adaptace na volatilitu aktiva.</w:t>
            </w:r>
          </w:p>
        </w:tc>
      </w:tr>
      <w:tr>
        <w:tc>
          <w:tcPr>
            <w:tcW w:type="dxa" w:w="2592"/>
            <w:shd w:fill="ffffff"/>
            <w:tcMar>
              <w:top w:w="80" w:type="dxa"/>
              <w:bottom w:w="80" w:type="dxa"/>
              <w:left w:w="100" w:type="dxa"/>
              <w:right w:w="100" w:type="dxa"/>
            </w:tcMar>
          </w:tcPr>
          <w:p>
            <w:pPr>
              <w:spacing w:after="40"/>
            </w:pPr>
            <w:r>
              <w:rPr>
                <w:b/>
                <w:sz w:val="17"/>
              </w:rPr>
              <w:t>LiMT: Liquidity &amp; Momentum Thresholding</w:t>
            </w:r>
          </w:p>
        </w:tc>
        <w:tc>
          <w:tcPr>
            <w:tcW w:type="dxa" w:w="2592"/>
            <w:shd w:fill="ffffff"/>
            <w:tcMar>
              <w:top w:w="80" w:type="dxa"/>
              <w:bottom w:w="80" w:type="dxa"/>
              <w:left w:w="100" w:type="dxa"/>
              <w:right w:w="100" w:type="dxa"/>
            </w:tcMar>
          </w:tcPr>
          <w:p>
            <w:pPr>
              <w:spacing w:after="40"/>
            </w:pPr>
            <w:r>
              <w:rPr>
                <w:sz w:val="17"/>
              </w:rPr>
              <w:t>Asymetrie likvidity a nelineární prahy objemových šoků pro predikci průrazu.</w:t>
            </w:r>
          </w:p>
        </w:tc>
        <w:tc>
          <w:tcPr>
            <w:tcW w:type="dxa" w:w="2736"/>
            <w:shd w:fill="ffffff"/>
            <w:tcMar>
              <w:top w:w="80" w:type="dxa"/>
              <w:bottom w:w="80" w:type="dxa"/>
              <w:left w:w="100" w:type="dxa"/>
              <w:right w:w="100" w:type="dxa"/>
            </w:tcMar>
          </w:tcPr>
          <w:p>
            <w:pPr>
              <w:spacing w:after="40"/>
            </w:pPr>
            <w:r>
              <w:rPr>
                <w:sz w:val="17"/>
              </w:rPr>
              <w:t>Katalyzátor CAT_VOLUME_SHOCK při objemovém Z-skóre z_v ≥ 2.0σ a růstu ceny.</w:t>
            </w:r>
          </w:p>
        </w:tc>
        <w:tc>
          <w:tcPr>
            <w:tcW w:type="dxa" w:w="2160"/>
            <w:shd w:fill="ffffff"/>
            <w:tcMar>
              <w:top w:w="80" w:type="dxa"/>
              <w:bottom w:w="80" w:type="dxa"/>
              <w:left w:w="100" w:type="dxa"/>
              <w:right w:w="100" w:type="dxa"/>
            </w:tcMar>
          </w:tcPr>
          <w:p>
            <w:pPr>
              <w:spacing w:after="40"/>
            </w:pPr>
            <w:r>
              <w:rPr>
                <w:sz w:val="17"/>
              </w:rPr>
              <w:t>Včasná detekce velkých institucionálních nákupů před zbytkem trhu.</w:t>
            </w:r>
          </w:p>
        </w:tc>
      </w:tr>
      <w:tr>
        <w:tc>
          <w:tcPr>
            <w:tcW w:type="dxa" w:w="2592"/>
            <w:shd w:fill="f8fafc"/>
            <w:tcMar>
              <w:top w:w="80" w:type="dxa"/>
              <w:bottom w:w="80" w:type="dxa"/>
              <w:left w:w="100" w:type="dxa"/>
              <w:right w:w="100" w:type="dxa"/>
            </w:tcMar>
          </w:tcPr>
          <w:p>
            <w:pPr>
              <w:spacing w:after="40"/>
            </w:pPr>
            <w:r>
              <w:rPr>
                <w:b/>
                <w:sz w:val="17"/>
              </w:rPr>
              <w:t>OrderFusion+: Multi-Horizon Execution</w:t>
            </w:r>
          </w:p>
        </w:tc>
        <w:tc>
          <w:tcPr>
            <w:tcW w:type="dxa" w:w="2592"/>
            <w:shd w:fill="f8fafc"/>
            <w:tcMar>
              <w:top w:w="80" w:type="dxa"/>
              <w:bottom w:w="80" w:type="dxa"/>
              <w:left w:w="100" w:type="dxa"/>
              <w:right w:w="100" w:type="dxa"/>
            </w:tcMar>
          </w:tcPr>
          <w:p>
            <w:pPr>
              <w:spacing w:after="40"/>
            </w:pPr>
            <w:r>
              <w:rPr>
                <w:sz w:val="17"/>
              </w:rPr>
              <w:t>Predikce intradenních kvantilů LOB a optimalizace limitních nákupních příkazů.</w:t>
            </w:r>
          </w:p>
        </w:tc>
        <w:tc>
          <w:tcPr>
            <w:tcW w:type="dxa" w:w="2736"/>
            <w:shd w:fill="f8fafc"/>
            <w:tcMar>
              <w:top w:w="80" w:type="dxa"/>
              <w:bottom w:w="80" w:type="dxa"/>
              <w:left w:w="100" w:type="dxa"/>
              <w:right w:w="100" w:type="dxa"/>
            </w:tcMar>
          </w:tcPr>
          <w:p>
            <w:pPr>
              <w:spacing w:after="40"/>
            </w:pPr>
            <w:r>
              <w:rPr>
                <w:sz w:val="17"/>
              </w:rPr>
              <w:t>Exekuční nákupní pásmo Q_0.10 [P_0 - 0.5×ATR, P_0] a alokační strop 2 % obratu.</w:t>
            </w:r>
          </w:p>
        </w:tc>
        <w:tc>
          <w:tcPr>
            <w:tcW w:type="dxa" w:w="2160"/>
            <w:shd w:fill="f8fafc"/>
            <w:tcMar>
              <w:top w:w="80" w:type="dxa"/>
              <w:bottom w:w="80" w:type="dxa"/>
              <w:left w:w="100" w:type="dxa"/>
              <w:right w:w="100" w:type="dxa"/>
            </w:tcMar>
          </w:tcPr>
          <w:p>
            <w:pPr>
              <w:spacing w:after="40"/>
            </w:pPr>
            <w:r>
              <w:rPr>
                <w:sz w:val="17"/>
              </w:rPr>
              <w:t>Úspora 0.5–1.0 % na spreadu a tržním dopadu (slippage) při každém vstupu.</w:t>
            </w:r>
          </w:p>
        </w:tc>
      </w:tr>
      <w:tr>
        <w:tc>
          <w:tcPr>
            <w:tcW w:type="dxa" w:w="2592"/>
            <w:shd w:fill="ffffff"/>
            <w:tcMar>
              <w:top w:w="80" w:type="dxa"/>
              <w:bottom w:w="80" w:type="dxa"/>
              <w:left w:w="100" w:type="dxa"/>
              <w:right w:w="100" w:type="dxa"/>
            </w:tcMar>
          </w:tcPr>
          <w:p>
            <w:pPr>
              <w:spacing w:after="40"/>
            </w:pPr>
            <w:r>
              <w:rPr>
                <w:b/>
                <w:sz w:val="17"/>
              </w:rPr>
              <w:t>Universal Diffusion IVS</w:t>
            </w:r>
          </w:p>
        </w:tc>
        <w:tc>
          <w:tcPr>
            <w:tcW w:type="dxa" w:w="2592"/>
            <w:shd w:fill="ffffff"/>
            <w:tcMar>
              <w:top w:w="80" w:type="dxa"/>
              <w:bottom w:w="80" w:type="dxa"/>
              <w:left w:w="100" w:type="dxa"/>
              <w:right w:w="100" w:type="dxa"/>
            </w:tcMar>
          </w:tcPr>
          <w:p>
            <w:pPr>
              <w:spacing w:after="40"/>
            </w:pPr>
            <w:r>
              <w:rPr>
                <w:sz w:val="17"/>
              </w:rPr>
              <w:t>Difúzní generativní modely pro nelineární dynamiku povrchů volatility.</w:t>
            </w:r>
          </w:p>
        </w:tc>
        <w:tc>
          <w:tcPr>
            <w:tcW w:type="dxa" w:w="2736"/>
            <w:shd w:fill="ffffff"/>
            <w:tcMar>
              <w:top w:w="80" w:type="dxa"/>
              <w:bottom w:w="80" w:type="dxa"/>
              <w:left w:w="100" w:type="dxa"/>
              <w:right w:w="100" w:type="dxa"/>
            </w:tcMar>
          </w:tcPr>
          <w:p>
            <w:pPr>
              <w:spacing w:after="40"/>
            </w:pPr>
            <w:r>
              <w:rPr>
                <w:sz w:val="17"/>
              </w:rPr>
              <w:t>Mapování volatility regime (RV_21 a ATR%) pro kalibraci citlivosti AI skórování.</w:t>
            </w:r>
          </w:p>
        </w:tc>
        <w:tc>
          <w:tcPr>
            <w:tcW w:type="dxa" w:w="2160"/>
            <w:shd w:fill="ffffff"/>
            <w:tcMar>
              <w:top w:w="80" w:type="dxa"/>
              <w:bottom w:w="80" w:type="dxa"/>
              <w:left w:w="100" w:type="dxa"/>
              <w:right w:w="100" w:type="dxa"/>
            </w:tcMar>
          </w:tcPr>
          <w:p>
            <w:pPr>
              <w:spacing w:after="40"/>
            </w:pPr>
            <w:r>
              <w:rPr>
                <w:sz w:val="17"/>
              </w:rPr>
              <w:t>Přesnější odlišení klidných růstových trendů od rizikových bublin.</w:t>
            </w:r>
          </w:p>
        </w:tc>
      </w:tr>
      <w:tr>
        <w:tc>
          <w:tcPr>
            <w:tcW w:type="dxa" w:w="2592"/>
            <w:shd w:fill="f8fafc"/>
            <w:tcMar>
              <w:top w:w="80" w:type="dxa"/>
              <w:bottom w:w="80" w:type="dxa"/>
              <w:left w:w="100" w:type="dxa"/>
              <w:right w:w="100" w:type="dxa"/>
            </w:tcMar>
          </w:tcPr>
          <w:p>
            <w:pPr>
              <w:spacing w:after="40"/>
            </w:pPr>
            <w:r>
              <w:rPr>
                <w:b/>
                <w:sz w:val="17"/>
              </w:rPr>
              <w:t>AI &amp; NLP Trading Models (SSRN)</w:t>
            </w:r>
          </w:p>
        </w:tc>
        <w:tc>
          <w:tcPr>
            <w:tcW w:type="dxa" w:w="2592"/>
            <w:shd w:fill="f8fafc"/>
            <w:tcMar>
              <w:top w:w="80" w:type="dxa"/>
              <w:bottom w:w="80" w:type="dxa"/>
              <w:left w:w="100" w:type="dxa"/>
              <w:right w:w="100" w:type="dxa"/>
            </w:tcMar>
          </w:tcPr>
          <w:p>
            <w:pPr>
              <w:spacing w:after="40"/>
            </w:pPr>
            <w:r>
              <w:rPr>
                <w:sz w:val="17"/>
              </w:rPr>
              <w:t>Kvantifikace informační asymetrie a sentimentové divergence mezi zprávami a cenou.</w:t>
            </w:r>
          </w:p>
        </w:tc>
        <w:tc>
          <w:tcPr>
            <w:tcW w:type="dxa" w:w="2736"/>
            <w:shd w:fill="f8fafc"/>
            <w:tcMar>
              <w:top w:w="80" w:type="dxa"/>
              <w:bottom w:w="80" w:type="dxa"/>
              <w:left w:w="100" w:type="dxa"/>
              <w:right w:w="100" w:type="dxa"/>
            </w:tcMar>
          </w:tcPr>
          <w:p>
            <w:pPr>
              <w:spacing w:after="40"/>
            </w:pPr>
            <w:r>
              <w:rPr>
                <w:sz w:val="17"/>
              </w:rPr>
              <w:t>Katalyzátor CAT_SENTIMENT_DIVERGENCE propojující RSS feed a momentum delty.</w:t>
            </w:r>
          </w:p>
        </w:tc>
        <w:tc>
          <w:tcPr>
            <w:tcW w:type="dxa" w:w="2160"/>
            <w:shd w:fill="f8fafc"/>
            <w:tcMar>
              <w:top w:w="80" w:type="dxa"/>
              <w:bottom w:w="80" w:type="dxa"/>
              <w:left w:w="100" w:type="dxa"/>
              <w:right w:w="100" w:type="dxa"/>
            </w:tcMar>
          </w:tcPr>
          <w:p>
            <w:pPr>
              <w:spacing w:after="40"/>
            </w:pPr>
            <w:r>
              <w:rPr>
                <w:sz w:val="17"/>
              </w:rPr>
              <w:t>Identifikace skryté akumulace (pozitivní zprávy bez okamžitého pohybu ceny).</w:t>
            </w:r>
          </w:p>
        </w:tc>
      </w:tr>
      <w:tr>
        <w:tc>
          <w:tcPr>
            <w:tcW w:type="dxa" w:w="2592"/>
            <w:shd w:fill="ffffff"/>
            <w:tcMar>
              <w:top w:w="80" w:type="dxa"/>
              <w:bottom w:w="80" w:type="dxa"/>
              <w:left w:w="100" w:type="dxa"/>
              <w:right w:w="100" w:type="dxa"/>
            </w:tcMar>
          </w:tcPr>
          <w:p>
            <w:pPr>
              <w:spacing w:after="40"/>
            </w:pPr>
            <w:r>
              <w:rPr>
                <w:b/>
                <w:sz w:val="17"/>
              </w:rPr>
              <w:t>Pairs Trading in CEE Equity Markets</w:t>
            </w:r>
          </w:p>
        </w:tc>
        <w:tc>
          <w:tcPr>
            <w:tcW w:type="dxa" w:w="2592"/>
            <w:shd w:fill="ffffff"/>
            <w:tcMar>
              <w:top w:w="80" w:type="dxa"/>
              <w:bottom w:w="80" w:type="dxa"/>
              <w:left w:w="100" w:type="dxa"/>
              <w:right w:w="100" w:type="dxa"/>
            </w:tcMar>
          </w:tcPr>
          <w:p>
            <w:pPr>
              <w:spacing w:after="40"/>
            </w:pPr>
            <w:r>
              <w:rPr>
                <w:sz w:val="17"/>
              </w:rPr>
              <w:t>Kointegrace a statistická arbitráž v regionálních středoevropských titulech.</w:t>
            </w:r>
          </w:p>
        </w:tc>
        <w:tc>
          <w:tcPr>
            <w:tcW w:type="dxa" w:w="2736"/>
            <w:shd w:fill="ffffff"/>
            <w:tcMar>
              <w:top w:w="80" w:type="dxa"/>
              <w:bottom w:w="80" w:type="dxa"/>
              <w:left w:w="100" w:type="dxa"/>
              <w:right w:w="100" w:type="dxa"/>
            </w:tcMar>
          </w:tcPr>
          <w:p>
            <w:pPr>
              <w:spacing w:after="40"/>
            </w:pPr>
            <w:r>
              <w:rPr>
                <w:sz w:val="17"/>
              </w:rPr>
              <w:t>Katalyzátor CAT_PAIRS_DISCOUNT a sektorové komparativní relace pro BCPP a CEE.</w:t>
            </w:r>
          </w:p>
        </w:tc>
        <w:tc>
          <w:tcPr>
            <w:tcW w:type="dxa" w:w="2160"/>
            <w:shd w:fill="ffffff"/>
            <w:tcMar>
              <w:top w:w="80" w:type="dxa"/>
              <w:bottom w:w="80" w:type="dxa"/>
              <w:left w:w="100" w:type="dxa"/>
              <w:right w:w="100" w:type="dxa"/>
            </w:tcMar>
          </w:tcPr>
          <w:p>
            <w:pPr>
              <w:spacing w:after="40"/>
            </w:pPr>
            <w:r>
              <w:rPr>
                <w:sz w:val="17"/>
              </w:rPr>
              <w:t>Využití zpoždění lokálních trhů za západoevropskými sektorovými lídry.</w:t>
            </w:r>
          </w:p>
        </w:tc>
      </w:tr>
      <w:tr>
        <w:tc>
          <w:tcPr>
            <w:tcW w:type="dxa" w:w="2592"/>
            <w:shd w:fill="f8fafc"/>
            <w:tcMar>
              <w:top w:w="80" w:type="dxa"/>
              <w:bottom w:w="80" w:type="dxa"/>
              <w:left w:w="100" w:type="dxa"/>
              <w:right w:w="100" w:type="dxa"/>
            </w:tcMar>
          </w:tcPr>
          <w:p>
            <w:pPr>
              <w:spacing w:after="40"/>
            </w:pPr>
            <w:r>
              <w:rPr>
                <w:b/>
                <w:sz w:val="17"/>
              </w:rPr>
              <w:t>Decoding the Quant Market</w:t>
            </w:r>
          </w:p>
        </w:tc>
        <w:tc>
          <w:tcPr>
            <w:tcW w:type="dxa" w:w="2592"/>
            <w:shd w:fill="f8fafc"/>
            <w:tcMar>
              <w:top w:w="80" w:type="dxa"/>
              <w:bottom w:w="80" w:type="dxa"/>
              <w:left w:w="100" w:type="dxa"/>
              <w:right w:w="100" w:type="dxa"/>
            </w:tcMar>
          </w:tcPr>
          <w:p>
            <w:pPr>
              <w:spacing w:after="40"/>
            </w:pPr>
            <w:r>
              <w:rPr>
                <w:sz w:val="17"/>
              </w:rPr>
              <w:t>Makro režimy, faktorové rotace a dynamické vážení modelových signálů.</w:t>
            </w:r>
          </w:p>
        </w:tc>
        <w:tc>
          <w:tcPr>
            <w:tcW w:type="dxa" w:w="2736"/>
            <w:shd w:fill="f8fafc"/>
            <w:tcMar>
              <w:top w:w="80" w:type="dxa"/>
              <w:bottom w:w="80" w:type="dxa"/>
              <w:left w:w="100" w:type="dxa"/>
              <w:right w:w="100" w:type="dxa"/>
            </w:tcMar>
          </w:tcPr>
          <w:p>
            <w:pPr>
              <w:spacing w:after="40"/>
            </w:pPr>
            <w:r>
              <w:rPr>
                <w:sz w:val="17"/>
              </w:rPr>
              <w:t>Syntéza v Head of Risk systémovém promptu Gemini 3.5 AI s prioritou událostí.</w:t>
            </w:r>
          </w:p>
        </w:tc>
        <w:tc>
          <w:tcPr>
            <w:tcW w:type="dxa" w:w="2160"/>
            <w:shd w:fill="f8fafc"/>
            <w:tcMar>
              <w:top w:w="80" w:type="dxa"/>
              <w:bottom w:w="80" w:type="dxa"/>
              <w:left w:w="100" w:type="dxa"/>
              <w:right w:w="100" w:type="dxa"/>
            </w:tcMar>
          </w:tcPr>
          <w:p>
            <w:pPr>
              <w:spacing w:after="40"/>
            </w:pPr>
            <w:r>
              <w:rPr>
                <w:sz w:val="17"/>
              </w:rPr>
              <w:t>Robustní eliminace protichůdných signálů a ochrana portfolia.</w:t>
            </w:r>
          </w:p>
        </w:tc>
      </w:tr>
    </w:tbl>
    <w:p>
      <w:pPr>
        <w:spacing w:after="240"/>
      </w:pPr>
    </w:p>
    <w:p>
      <w:pPr>
        <w:keepNext/>
        <w:spacing w:before="280" w:after="80"/>
      </w:pPr>
      <w:r>
        <w:rPr>
          <w:rFonts w:ascii="Calibri" w:hAnsi="Calibri"/>
          <w:b/>
          <w:color w:val="2563EB"/>
          <w:sz w:val="26"/>
        </w:rPr>
        <w:t>6.11 Pokročilá syntéza a portfolio management (Výzkumná dávka 2 – Zdroje 8 až 11)</w:t>
      </w:r>
    </w:p>
    <w:p>
      <w:pPr>
        <w:spacing w:before="0" w:after="120" w:line="276" w:lineRule="auto"/>
      </w:pPr>
      <w:r>
        <w:rPr>
          <w:rFonts w:ascii="Calibri" w:hAnsi="Calibri"/>
          <w:color w:val="1E293B"/>
          <w:sz w:val="21"/>
        </w:rPr>
        <w:t>V navazující fázi výzkumu byly do architektury SuggestInvest integrovány poznatky ze čtyř rozsáhlých diplomových a disertačních prací předních světových univerzit (Massachusetts Institute of Technology, Brock University, Universidad Politécnica de Madrid a Victoria University). Tato rozšíření posouvají model od pouhé bodové predikce jednotlivých titulů k sofistikované konstrukci portfolia, dynamické filtraci tržního sentimentu a modelování bankovního úrokového cyklu.</w:t>
      </w:r>
    </w:p>
    <w:p>
      <w:pPr>
        <w:spacing w:before="0" w:after="120" w:line="276" w:lineRule="auto"/>
      </w:pPr>
      <w:r>
        <w:rPr>
          <w:rFonts w:ascii="Calibri" w:hAnsi="Calibri"/>
          <w:color w:val="1E293B"/>
          <w:sz w:val="21"/>
        </w:rPr>
        <w:t>A. Masuda TOP 5 Conviction Allocation (MIT MVO Portfolio):</w:t>
      </w:r>
    </w:p>
    <w:p>
      <w:pPr>
        <w:pStyle w:val="ListBullet"/>
        <w:spacing w:before="0" w:after="60" w:line="276" w:lineRule="auto"/>
      </w:pPr>
      <w:r>
        <w:rPr>
          <w:rFonts w:ascii="Calibri" w:hAnsi="Calibri"/>
          <w:b/>
          <w:color w:val="1E293B"/>
          <w:sz w:val="21"/>
        </w:rPr>
        <w:t>1. Sharpe Proxy Conviction skóre:</w:t>
      </w:r>
      <w:r>
        <w:rPr>
          <w:rFonts w:ascii="Calibri" w:hAnsi="Calibri"/>
          <w:color w:val="1E293B"/>
          <w:sz w:val="21"/>
        </w:rPr>
        <w:t xml:space="preserve"> Inspirováno prací Jamese Masudy (MIT EECS 2024), která prokázala, že hybridní modely dosahují špičkového výkonu pouze při spojení prediktivní síly s Mean-Variance optimalizací (MVO). SuggestInvest denně sestavuje modelový koš 5 nejsilnějších titulů s nejvyšším poměrem očekávaného zisku vůči realizované volatilitě a riziku: Conviction = (Target_Upside / max(RV_21, 10)) × (1 + 0.12 × K), kde K je počet aktivních katalyzátorů.</w:t>
      </w:r>
    </w:p>
    <w:p>
      <w:pPr>
        <w:pStyle w:val="ListBullet"/>
        <w:spacing w:before="0" w:after="60" w:line="276" w:lineRule="auto"/>
      </w:pPr>
      <w:r>
        <w:rPr>
          <w:rFonts w:ascii="Calibri" w:hAnsi="Calibri"/>
          <w:b/>
          <w:color w:val="1E293B"/>
          <w:sz w:val="21"/>
        </w:rPr>
        <w:t>2. Diversifikované vážení portfolia:</w:t>
      </w:r>
      <w:r>
        <w:rPr>
          <w:rFonts w:ascii="Calibri" w:hAnsi="Calibri"/>
          <w:color w:val="1E293B"/>
          <w:sz w:val="21"/>
        </w:rPr>
        <w:t xml:space="preserve"> Alokace kapitálu do TOP 5 aktiv probíhá v sestupných vahách 25 %, 25 %, 20 %, 15 % a 15 % při současném uplatnění regionální a měnové diverzifikace (maximálně 2 tituly v identické měně či regionu v koši). Tím je zabráněno nezdravé koncentraci rizika.</w:t>
      </w:r>
    </w:p>
    <w:p>
      <w:pPr>
        <w:spacing w:before="0" w:after="120" w:line="276" w:lineRule="auto"/>
      </w:pPr>
      <w:r>
        <w:rPr>
          <w:rFonts w:ascii="Calibri" w:hAnsi="Calibri"/>
          <w:color w:val="1E293B"/>
          <w:sz w:val="21"/>
        </w:rPr>
        <w:t>B. Volatility-Adaptive News Sentiment Filtering (Brock University &amp; UPM Madrid):</w:t>
      </w:r>
    </w:p>
    <w:p>
      <w:pPr>
        <w:pStyle w:val="ListBullet"/>
        <w:spacing w:before="0" w:after="60" w:line="276" w:lineRule="auto"/>
      </w:pPr>
      <w:r>
        <w:rPr>
          <w:rFonts w:ascii="Calibri" w:hAnsi="Calibri"/>
          <w:b/>
          <w:color w:val="1E293B"/>
          <w:sz w:val="21"/>
        </w:rPr>
        <w:t>1. Rychlý sentiment u růstových aktiv:</w:t>
      </w:r>
      <w:r>
        <w:rPr>
          <w:rFonts w:ascii="Calibri" w:hAnsi="Calibri"/>
          <w:color w:val="1E293B"/>
          <w:sz w:val="21"/>
        </w:rPr>
        <w:t xml:space="preserve"> Sheraz Ahmad (Brock University 2025) a Juan Luis Ruiz-Tagle (UPM Madrid 2023) prokázali, že vliv zpravodajského sentimentu se zásadně liší napříč sektory a režimy volatility. Vysoce volatilní aktiva (RV_21 ≥ 25 %, např. technologické růstové akcie, krypto-proxies, energetika) reagují na novinky okamžitě s poločasem rozpadu 1–2 dny.</w:t>
      </w:r>
    </w:p>
    <w:p>
      <w:pPr>
        <w:pStyle w:val="ListBullet"/>
        <w:spacing w:before="0" w:after="60" w:line="276" w:lineRule="auto"/>
      </w:pPr>
      <w:r>
        <w:rPr>
          <w:rFonts w:ascii="Calibri" w:hAnsi="Calibri"/>
          <w:b/>
          <w:color w:val="1E293B"/>
          <w:sz w:val="21"/>
        </w:rPr>
        <w:t>2. Potlačení šumu u defenzivních titulů:</w:t>
      </w:r>
      <w:r>
        <w:rPr>
          <w:rFonts w:ascii="Calibri" w:hAnsi="Calibri"/>
          <w:color w:val="1E293B"/>
          <w:sz w:val="21"/>
        </w:rPr>
        <w:t xml:space="preserve"> U nízkovolatilních a defenzivních aktiv (RV_21 ≤ 18 %, např. banky, utility, telekomunikace) působí krátkodobý sentiment jako šum degradující přesnost modelu. SuggestInvest v tomto režimu potlačuje vliv zpráv a klade dominantní důraz na fundamentální valuační diskont a dividendovou stabilitu.</w:t>
      </w:r>
    </w:p>
    <w:p>
      <w:pPr>
        <w:spacing w:before="0" w:after="120" w:line="276" w:lineRule="auto"/>
      </w:pPr>
      <w:r>
        <w:rPr>
          <w:rFonts w:ascii="Calibri" w:hAnsi="Calibri"/>
          <w:color w:val="1E293B"/>
          <w:sz w:val="21"/>
        </w:rPr>
        <w:t>C. Cyklický katalyzátor bankovního sektoru (Victoria University):</w:t>
      </w:r>
    </w:p>
    <w:p>
      <w:pPr>
        <w:pStyle w:val="ListBullet"/>
        <w:spacing w:before="0" w:after="60" w:line="276" w:lineRule="auto"/>
      </w:pPr>
      <w:r>
        <w:rPr>
          <w:rFonts w:ascii="Calibri" w:hAnsi="Calibri"/>
          <w:b/>
          <w:color w:val="1E293B"/>
          <w:sz w:val="21"/>
        </w:rPr>
        <w:t>Katalyzátor CAT_FINANCIAL_CYCLE:</w:t>
      </w:r>
      <w:r>
        <w:rPr>
          <w:rFonts w:ascii="Calibri" w:hAnsi="Calibri"/>
          <w:color w:val="1E293B"/>
          <w:sz w:val="21"/>
        </w:rPr>
        <w:t xml:space="preserve"> Disertační práce Praveena Sadasivana (Victoria University 2024/25) modelující bankovní sektorové indexy identifikovala silnou statistickou závislost (R² &gt; 0.78) mezi úrokovým diferenciálem (výnosovou křivkou) a výkonností bankovních akcií se zpožděním 15 až 30 obchodních dnů. SuggestInvest proto zavedl katalyzátor CAT_FINANCIAL_CYCLE (🏛️ Úrokový cyklus / NIM), který pro bankovní tituly (Erste, KB, Moneta, Santander, BNP Paribas, ING) systematicky zohledňuje stabilitu čisté úrokové marže a prostředí úrokových sazeb.</w:t>
      </w:r>
    </w:p>
    <w:p>
      <w:pPr>
        <w:spacing w:before="0" w:after="120" w:line="276" w:lineRule="auto"/>
      </w:pPr>
      <w:r>
        <w:rPr>
          <w:rFonts w:ascii="Calibri" w:hAnsi="Calibri"/>
          <w:color w:val="1E293B"/>
          <w:sz w:val="21"/>
        </w:rPr>
        <w:t>D. Akademické ukotvení – Přehled 4 nových výzkumných prací:</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00" w:type="dxa"/>
              <w:right w:w="100" w:type="dxa"/>
            </w:tcMar>
          </w:tcPr>
          <w:p>
            <w:pPr>
              <w:spacing w:after="40"/>
            </w:pPr>
            <w:r>
              <w:rPr>
                <w:b/>
                <w:color w:val="FFFFFF"/>
                <w:sz w:val="18"/>
              </w:rPr>
              <w:t>Výzkumná práce / Zdroj</w:t>
            </w:r>
          </w:p>
        </w:tc>
        <w:tc>
          <w:tcPr>
            <w:tcW w:type="dxa" w:w="2592"/>
            <w:shd w:fill="0f172a"/>
            <w:tcMar>
              <w:top w:w="120" w:type="dxa"/>
              <w:bottom w:w="120" w:type="dxa"/>
              <w:left w:w="100" w:type="dxa"/>
              <w:right w:w="100" w:type="dxa"/>
            </w:tcMar>
          </w:tcPr>
          <w:p>
            <w:pPr>
              <w:spacing w:after="40"/>
            </w:pPr>
            <w:r>
              <w:rPr>
                <w:b/>
                <w:color w:val="FFFFFF"/>
                <w:sz w:val="18"/>
              </w:rPr>
              <w:t>Klíčový akademický koncept</w:t>
            </w:r>
          </w:p>
        </w:tc>
        <w:tc>
          <w:tcPr>
            <w:tcW w:type="dxa" w:w="2736"/>
            <w:shd w:fill="0f172a"/>
            <w:tcMar>
              <w:top w:w="120" w:type="dxa"/>
              <w:bottom w:w="120" w:type="dxa"/>
              <w:left w:w="100" w:type="dxa"/>
              <w:right w:w="100" w:type="dxa"/>
            </w:tcMar>
          </w:tcPr>
          <w:p>
            <w:pPr>
              <w:spacing w:after="40"/>
            </w:pPr>
            <w:r>
              <w:rPr>
                <w:b/>
                <w:color w:val="FFFFFF"/>
                <w:sz w:val="18"/>
              </w:rPr>
              <w:t>Implementace v SuggestInvest</w:t>
            </w:r>
          </w:p>
        </w:tc>
        <w:tc>
          <w:tcPr>
            <w:tcW w:type="dxa" w:w="2160"/>
            <w:shd w:fill="0f172a"/>
            <w:tcMar>
              <w:top w:w="120" w:type="dxa"/>
              <w:bottom w:w="120" w:type="dxa"/>
              <w:left w:w="100" w:type="dxa"/>
              <w:right w:w="100" w:type="dxa"/>
            </w:tcMar>
          </w:tcPr>
          <w:p>
            <w:pPr>
              <w:spacing w:after="40"/>
            </w:pPr>
            <w:r>
              <w:rPr>
                <w:b/>
                <w:color w:val="FFFFFF"/>
                <w:sz w:val="18"/>
              </w:rPr>
              <w:t>Přínos pro model</w:t>
            </w:r>
          </w:p>
        </w:tc>
      </w:tr>
      <w:tr>
        <w:tc>
          <w:tcPr>
            <w:tcW w:type="dxa" w:w="2592"/>
            <w:shd w:fill="f8fafc"/>
            <w:tcMar>
              <w:top w:w="80" w:type="dxa"/>
              <w:bottom w:w="80" w:type="dxa"/>
              <w:left w:w="100" w:type="dxa"/>
              <w:right w:w="100" w:type="dxa"/>
            </w:tcMar>
          </w:tcPr>
          <w:p>
            <w:pPr>
              <w:spacing w:after="40"/>
            </w:pPr>
            <w:r>
              <w:rPr>
                <w:b/>
                <w:sz w:val="17"/>
              </w:rPr>
              <w:t>James Masuda</w:t>
              <w:br/>
              <w:t>(MIT EECS, 2024)</w:t>
            </w:r>
          </w:p>
        </w:tc>
        <w:tc>
          <w:tcPr>
            <w:tcW w:type="dxa" w:w="2592"/>
            <w:shd w:fill="f8fafc"/>
            <w:tcMar>
              <w:top w:w="80" w:type="dxa"/>
              <w:bottom w:w="80" w:type="dxa"/>
              <w:left w:w="100" w:type="dxa"/>
              <w:right w:w="100" w:type="dxa"/>
            </w:tcMar>
          </w:tcPr>
          <w:p>
            <w:pPr>
              <w:spacing w:after="40"/>
            </w:pPr>
            <w:r>
              <w:rPr>
                <w:sz w:val="17"/>
              </w:rPr>
              <w:t>Hybridní CNN-LSTM, BiLSTM-BO-LightGBM a Mean-Variance Portfolio Optimization.</w:t>
            </w:r>
          </w:p>
        </w:tc>
        <w:tc>
          <w:tcPr>
            <w:tcW w:type="dxa" w:w="2736"/>
            <w:shd w:fill="f8fafc"/>
            <w:tcMar>
              <w:top w:w="80" w:type="dxa"/>
              <w:bottom w:w="80" w:type="dxa"/>
              <w:left w:w="100" w:type="dxa"/>
              <w:right w:w="100" w:type="dxa"/>
            </w:tcMar>
          </w:tcPr>
          <w:p>
            <w:pPr>
              <w:spacing w:after="40"/>
            </w:pPr>
            <w:r>
              <w:rPr>
                <w:sz w:val="17"/>
              </w:rPr>
              <w:t>Modul TOP 5 Conviction Basket s MVO váhami 25-25-20-15-15 % a Sharpe proxy.</w:t>
            </w:r>
          </w:p>
        </w:tc>
        <w:tc>
          <w:tcPr>
            <w:tcW w:type="dxa" w:w="2160"/>
            <w:shd w:fill="f8fafc"/>
            <w:tcMar>
              <w:top w:w="80" w:type="dxa"/>
              <w:bottom w:w="80" w:type="dxa"/>
              <w:left w:w="100" w:type="dxa"/>
              <w:right w:w="100" w:type="dxa"/>
            </w:tcMar>
          </w:tcPr>
          <w:p>
            <w:pPr>
              <w:spacing w:after="40"/>
            </w:pPr>
            <w:r>
              <w:rPr>
                <w:sz w:val="17"/>
              </w:rPr>
              <w:t>Transformace izolovaných tipů na přímo investovatelné, diverzifikované minitportfolio.</w:t>
            </w:r>
          </w:p>
        </w:tc>
      </w:tr>
      <w:tr>
        <w:tc>
          <w:tcPr>
            <w:tcW w:type="dxa" w:w="2592"/>
            <w:shd w:fill="ffffff"/>
            <w:tcMar>
              <w:top w:w="80" w:type="dxa"/>
              <w:bottom w:w="80" w:type="dxa"/>
              <w:left w:w="100" w:type="dxa"/>
              <w:right w:w="100" w:type="dxa"/>
            </w:tcMar>
          </w:tcPr>
          <w:p>
            <w:pPr>
              <w:spacing w:after="40"/>
            </w:pPr>
            <w:r>
              <w:rPr>
                <w:b/>
                <w:sz w:val="17"/>
              </w:rPr>
              <w:t>Sheraz Ahmad</w:t>
              <w:br/>
              <w:t>(Brock University, 2025)</w:t>
            </w:r>
          </w:p>
        </w:tc>
        <w:tc>
          <w:tcPr>
            <w:tcW w:type="dxa" w:w="2592"/>
            <w:shd w:fill="ffffff"/>
            <w:tcMar>
              <w:top w:w="80" w:type="dxa"/>
              <w:bottom w:w="80" w:type="dxa"/>
              <w:left w:w="100" w:type="dxa"/>
              <w:right w:w="100" w:type="dxa"/>
            </w:tcMar>
          </w:tcPr>
          <w:p>
            <w:pPr>
              <w:spacing w:after="40"/>
            </w:pPr>
            <w:r>
              <w:rPr>
                <w:sz w:val="17"/>
              </w:rPr>
              <w:t>Analýza vlivu sentimentu napříč modely, sektory a režimy tržní volatility.</w:t>
            </w:r>
          </w:p>
        </w:tc>
        <w:tc>
          <w:tcPr>
            <w:tcW w:type="dxa" w:w="2736"/>
            <w:shd w:fill="ffffff"/>
            <w:tcMar>
              <w:top w:w="80" w:type="dxa"/>
              <w:bottom w:w="80" w:type="dxa"/>
              <w:left w:w="100" w:type="dxa"/>
              <w:right w:w="100" w:type="dxa"/>
            </w:tcMar>
          </w:tcPr>
          <w:p>
            <w:pPr>
              <w:spacing w:after="40"/>
            </w:pPr>
            <w:r>
              <w:rPr>
                <w:sz w:val="17"/>
              </w:rPr>
              <w:t>Režimové vážení sentimentu (HIGH_VOLATILITY vs. DEFENSIVE_FUNDAMENTAL).</w:t>
            </w:r>
          </w:p>
        </w:tc>
        <w:tc>
          <w:tcPr>
            <w:tcW w:type="dxa" w:w="2160"/>
            <w:shd w:fill="ffffff"/>
            <w:tcMar>
              <w:top w:w="80" w:type="dxa"/>
              <w:bottom w:w="80" w:type="dxa"/>
              <w:left w:w="100" w:type="dxa"/>
              <w:right w:w="100" w:type="dxa"/>
            </w:tcMar>
          </w:tcPr>
          <w:p>
            <w:pPr>
              <w:spacing w:after="40"/>
            </w:pPr>
            <w:r>
              <w:rPr>
                <w:sz w:val="17"/>
              </w:rPr>
              <w:t>Eliminace falešných signálů u defenzivních titulů a zrychlení reakce u technologií.</w:t>
            </w:r>
          </w:p>
        </w:tc>
      </w:tr>
      <w:tr>
        <w:tc>
          <w:tcPr>
            <w:tcW w:type="dxa" w:w="2592"/>
            <w:shd w:fill="f8fafc"/>
            <w:tcMar>
              <w:top w:w="80" w:type="dxa"/>
              <w:bottom w:w="80" w:type="dxa"/>
              <w:left w:w="100" w:type="dxa"/>
              <w:right w:w="100" w:type="dxa"/>
            </w:tcMar>
          </w:tcPr>
          <w:p>
            <w:pPr>
              <w:spacing w:after="40"/>
            </w:pPr>
            <w:r>
              <w:rPr>
                <w:b/>
                <w:sz w:val="17"/>
              </w:rPr>
              <w:t>Juan Luis Ruiz-Tagle</w:t>
              <w:br/>
              <w:t>(UPM Madrid, 2023)</w:t>
            </w:r>
          </w:p>
        </w:tc>
        <w:tc>
          <w:tcPr>
            <w:tcW w:type="dxa" w:w="2592"/>
            <w:shd w:fill="f8fafc"/>
            <w:tcMar>
              <w:top w:w="80" w:type="dxa"/>
              <w:bottom w:w="80" w:type="dxa"/>
              <w:left w:w="100" w:type="dxa"/>
              <w:right w:w="100" w:type="dxa"/>
            </w:tcMar>
          </w:tcPr>
          <w:p>
            <w:pPr>
              <w:spacing w:after="40"/>
            </w:pPr>
            <w:r>
              <w:rPr>
                <w:sz w:val="17"/>
              </w:rPr>
              <w:t>Predikce krátkodobých trendů pomocí FinBERT a technických indikátorů.</w:t>
            </w:r>
          </w:p>
        </w:tc>
        <w:tc>
          <w:tcPr>
            <w:tcW w:type="dxa" w:w="2736"/>
            <w:shd w:fill="f8fafc"/>
            <w:tcMar>
              <w:top w:w="80" w:type="dxa"/>
              <w:bottom w:w="80" w:type="dxa"/>
              <w:left w:w="100" w:type="dxa"/>
              <w:right w:w="100" w:type="dxa"/>
            </w:tcMar>
          </w:tcPr>
          <w:p>
            <w:pPr>
              <w:spacing w:after="40"/>
            </w:pPr>
            <w:r>
              <w:rPr>
                <w:sz w:val="17"/>
              </w:rPr>
              <w:t>Pravidlo nepotvrzeného sentimentu v Gemini AI (sentiment vyžaduje technický impuls).</w:t>
            </w:r>
          </w:p>
        </w:tc>
        <w:tc>
          <w:tcPr>
            <w:tcW w:type="dxa" w:w="2160"/>
            <w:shd w:fill="f8fafc"/>
            <w:tcMar>
              <w:top w:w="80" w:type="dxa"/>
              <w:bottom w:w="80" w:type="dxa"/>
              <w:left w:w="100" w:type="dxa"/>
              <w:right w:w="100" w:type="dxa"/>
            </w:tcMar>
          </w:tcPr>
          <w:p>
            <w:pPr>
              <w:spacing w:after="40"/>
            </w:pPr>
            <w:r>
              <w:rPr>
                <w:sz w:val="17"/>
              </w:rPr>
              <w:t>Ochrana před nákupem do padajícího nože na pouhou 'pozitivní PR zprávu'.</w:t>
            </w:r>
          </w:p>
        </w:tc>
      </w:tr>
      <w:tr>
        <w:tc>
          <w:tcPr>
            <w:tcW w:type="dxa" w:w="2592"/>
            <w:shd w:fill="ffffff"/>
            <w:tcMar>
              <w:top w:w="80" w:type="dxa"/>
              <w:bottom w:w="80" w:type="dxa"/>
              <w:left w:w="100" w:type="dxa"/>
              <w:right w:w="100" w:type="dxa"/>
            </w:tcMar>
          </w:tcPr>
          <w:p>
            <w:pPr>
              <w:spacing w:after="40"/>
            </w:pPr>
            <w:r>
              <w:rPr>
                <w:b/>
                <w:sz w:val="17"/>
              </w:rPr>
              <w:t>Praveen Sadasivan</w:t>
              <w:br/>
              <w:t>(Victoria University, 2024/25)</w:t>
            </w:r>
          </w:p>
        </w:tc>
        <w:tc>
          <w:tcPr>
            <w:tcW w:type="dxa" w:w="2592"/>
            <w:shd w:fill="ffffff"/>
            <w:tcMar>
              <w:top w:w="80" w:type="dxa"/>
              <w:bottom w:w="80" w:type="dxa"/>
              <w:left w:w="100" w:type="dxa"/>
              <w:right w:w="100" w:type="dxa"/>
            </w:tcMar>
          </w:tcPr>
          <w:p>
            <w:pPr>
              <w:spacing w:after="40"/>
            </w:pPr>
            <w:r>
              <w:rPr>
                <w:sz w:val="17"/>
              </w:rPr>
              <w:t>Predikce bankovních indexů pomocí optimalizovaných AI modelů a úrokových sazeb.</w:t>
            </w:r>
          </w:p>
        </w:tc>
        <w:tc>
          <w:tcPr>
            <w:tcW w:type="dxa" w:w="2736"/>
            <w:shd w:fill="ffffff"/>
            <w:tcMar>
              <w:top w:w="80" w:type="dxa"/>
              <w:bottom w:w="80" w:type="dxa"/>
              <w:left w:w="100" w:type="dxa"/>
              <w:right w:w="100" w:type="dxa"/>
            </w:tcMar>
          </w:tcPr>
          <w:p>
            <w:pPr>
              <w:spacing w:after="40"/>
            </w:pPr>
            <w:r>
              <w:rPr>
                <w:sz w:val="17"/>
              </w:rPr>
              <w:t>Katalyzátor CAT_FINANCIAL_CYCLE se zpožděnou transmisí úrokových marží (NIM).</w:t>
            </w:r>
          </w:p>
        </w:tc>
        <w:tc>
          <w:tcPr>
            <w:tcW w:type="dxa" w:w="2160"/>
            <w:shd w:fill="ffffff"/>
            <w:tcMar>
              <w:top w:w="80" w:type="dxa"/>
              <w:bottom w:w="80" w:type="dxa"/>
              <w:left w:w="100" w:type="dxa"/>
              <w:right w:w="100" w:type="dxa"/>
            </w:tcMar>
          </w:tcPr>
          <w:p>
            <w:pPr>
              <w:spacing w:after="40"/>
            </w:pPr>
            <w:r>
              <w:rPr>
                <w:sz w:val="17"/>
              </w:rPr>
              <w:t>Přesnější časování vstupů do evropských a českých bank (KB, Erste, Moneta).</w:t>
            </w:r>
          </w:p>
        </w:tc>
      </w:tr>
    </w:tbl>
    <w:p>
      <w:pPr>
        <w:spacing w:after="240"/>
      </w:pPr>
    </w:p>
    <w:p>
      <w:pPr>
        <w:keepNext/>
        <w:spacing w:before="280" w:after="80"/>
      </w:pPr>
      <w:r>
        <w:rPr>
          <w:rFonts w:ascii="Calibri" w:hAnsi="Calibri"/>
          <w:b/>
          <w:color w:val="2563EB"/>
          <w:sz w:val="26"/>
        </w:rPr>
        <w:t>6.12 Makroekonomický Barometr: Index Rizika Recese, Krachu a Sektorové Kontrakce</w:t>
      </w:r>
    </w:p>
    <w:p>
      <w:pPr>
        <w:spacing w:before="0" w:after="120" w:line="276" w:lineRule="auto"/>
      </w:pPr>
      <w:r>
        <w:rPr>
          <w:rFonts w:ascii="Calibri" w:hAnsi="Calibri"/>
          <w:color w:val="1E293B"/>
          <w:sz w:val="21"/>
        </w:rPr>
        <w:t>Na samotném začátku vizuálního rozhraní byl zaveden Kompozitní Makroekonomický Barometr (0 až 100) s vertikální stupnicí, který slouží jako předstihový systém včasného varování před hospodářskou recesí a systémovým krachem trhů. Syntetizuje 5 klíčových institucionálních datových proudů: výnosovou křivku US Treasuries (10Y/3M, 10Y/5Y spread – váha 25 %), úvěrové spready firemních dluhopisů (HYG vs LQD – váha 20 %), volatilitní režim CBOE VIX (váha 20 %), spotřebitelskou poptávku a výrobní cyklus (poměr cyklického a defenzivního koše XLY/XLP a průmysl XLI – váha 20 %) a vnitřní šíři trhu z 557 aktiv univerza SuggestInvest (váha 15 %). Součástí je Sektorový radar recese monitorující 9 odvětví.</w:t>
      </w:r>
    </w:p>
    <w:p>
      <w:pPr>
        <w:keepNext/>
        <w:spacing w:before="280" w:after="80"/>
      </w:pPr>
      <w:r>
        <w:rPr>
          <w:rFonts w:ascii="Calibri" w:hAnsi="Calibri"/>
          <w:b/>
          <w:color w:val="2563EB"/>
          <w:sz w:val="26"/>
        </w:rPr>
        <w:t>6.13 Samostatný Autonomní Trading Portál: Interactive Brokers (IBKR) &amp; XTB</w:t>
      </w:r>
    </w:p>
    <w:p>
      <w:pPr>
        <w:spacing w:before="0" w:after="120" w:line="276" w:lineRule="auto"/>
      </w:pPr>
      <w:r>
        <w:rPr>
          <w:rFonts w:ascii="Calibri" w:hAnsi="Calibri"/>
          <w:color w:val="1E293B"/>
          <w:sz w:val="21"/>
        </w:rPr>
        <w:t>Systém disponuje samostatnou dedikovanou stránkou pro autonomní trading (trading.html), přístupnou přímo z horní navigace terminálu. Portál je primárně cílen na institucionálního brokera Interactive Brokers (IBKR) s plnou podporou TWS Socket API (port 7497 Paper / 7496 Live) a jednoklikového exportu do TWS modulu Basket Trader (BasketTrader.csv). Zahrnuje také WebSocket most pro brokera XTB (xAPI). Modul Broker Execution Bridge obsahuje kvantitativní Risk Gatekeeper, který z TOP 5 MVO koše a Strong Buy aktiv automaticky generuje exekučně připravené bracket příkazy (Limit Entry, Stop-Loss, Take-Profit). Pozicování vychází z pevného kapitálového risku (výchozí 1,5 % celkového portfolia na obchod), minimálního poměru zisku k riziku (RRR ≥ 1,8) a makroekonomické ochrany kapitálu, která při zvýšeném riziku recese automaticky krátí alokaci na 50 % nebo blokuje nákupy cyklických titulů. Systém umožňuje okamžité stažení CSV souboru pro TWS Basket Trader, kopírování Python kódu (ib_insync) i bezrizikový Paper Trading Sandbox.</w:t>
      </w:r>
    </w:p>
    <w:p>
      <w:pPr>
        <w:spacing w:after="240"/>
      </w:pPr>
    </w:p>
    <w:p>
      <w:pPr>
        <w:keepNext/>
        <w:spacing w:before="440" w:after="120"/>
      </w:pPr>
      <w:r>
        <w:rPr>
          <w:rFonts w:ascii="Calibri" w:hAnsi="Calibri"/>
          <w:b/>
          <w:color w:val="0F172A"/>
          <w:sz w:val="34"/>
        </w:rPr>
        <w:t>7. Segmentace univerza: Proč 3 prioritní koše (Tiers)</w:t>
      </w:r>
    </w:p>
    <w:p>
      <w:pPr>
        <w:spacing w:before="0" w:after="120" w:line="276" w:lineRule="auto"/>
      </w:pPr>
      <w:r>
        <w:rPr>
          <w:rFonts w:ascii="Calibri" w:hAnsi="Calibri"/>
          <w:color w:val="1E293B"/>
          <w:sz w:val="21"/>
        </w:rPr>
        <w:t>Všech 557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48 aktiv</w:t>
            </w:r>
          </w:p>
        </w:tc>
        <w:tc>
          <w:tcPr>
            <w:tcW w:type="dxa" w:w="2340"/>
            <w:shd w:fill="f8fafc"/>
            <w:tcMar>
              <w:top w:w="80" w:type="dxa"/>
              <w:bottom w:w="80" w:type="dxa"/>
              <w:left w:w="100" w:type="dxa"/>
              <w:right w:w="100" w:type="dxa"/>
            </w:tcMar>
          </w:tcPr>
          <w:p>
            <w:pPr>
              <w:spacing w:after="40"/>
            </w:pPr>
            <w:r>
              <w:rPr>
                <w:sz w:val="17"/>
              </w:rPr>
              <w:t>US Mega-Caps (Apple, Nvidia, Microsoft, Amazon), kompletní BCPP v CZK (ČEZ, banky, Colt), evropské stálice (ASML, SAP) a klíčová indexová ETF (S&amp;P 500, All-World, Nasdaq).</w:t>
            </w:r>
          </w:p>
        </w:tc>
        <w:tc>
          <w:tcPr>
            <w:tcW w:type="dxa" w:w="2340"/>
            <w:shd w:fill="f8fafc"/>
            <w:tcMar>
              <w:top w:w="80" w:type="dxa"/>
              <w:bottom w:w="80" w:type="dxa"/>
              <w:left w:w="100" w:type="dxa"/>
              <w:right w:w="100" w:type="dxa"/>
            </w:tcMar>
          </w:tcPr>
          <w:p>
            <w:pPr>
              <w:spacing w:after="40"/>
            </w:pPr>
            <w:r>
              <w:rPr>
                <w:sz w:val="17"/>
              </w:rPr>
              <w:t>Základní stavební kameny, nejvyšší likvidita, globální tržní kapitalizace a minimální spread.</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472 aktiv</w:t>
            </w:r>
          </w:p>
        </w:tc>
        <w:tc>
          <w:tcPr>
            <w:tcW w:type="dxa" w:w="2340"/>
            <w:shd w:fill="ffffff"/>
            <w:tcMar>
              <w:top w:w="80" w:type="dxa"/>
              <w:bottom w:w="80" w:type="dxa"/>
              <w:left w:w="100" w:type="dxa"/>
              <w:right w:w="100" w:type="dxa"/>
            </w:tcMar>
          </w:tcPr>
          <w:p>
            <w:pPr>
              <w:spacing w:after="40"/>
            </w:pPr>
            <w:r>
              <w:rPr>
                <w:sz w:val="17"/>
              </w:rPr>
              <w:t>Rozsáhlé spektrum světových blue-chips (A–Z), polovodičoví lídři, jaderná energetika, obranný sektor, kosmonautika, krypto-proxies a sektorová UCITS ETF na XTB.</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 i měnami.</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8.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Díky spojení reálných tržních dat z XTB, konsenzu analytiků, firemních kalendářů a syntézy modelu Google Gemini dostává investor každé ráno ucelený a forward-looking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