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WebDev多风格网站生产实验方案</w:t>
      </w:r>
    </w:p>
    <w:p>
      <w:pPr>
        <w:pStyle w:val="Subtitle"/>
      </w:pPr>
      <w:r>
        <w:t>从产品方向到证据 设计指令与可运行网站</w:t>
      </w:r>
    </w:p>
    <w:p>
      <w:r>
        <w:t>内部分享版  ·  2026年9月10日</w:t>
      </w:r>
    </w:p>
    <w:p>
      <w:pPr>
        <w:pStyle w:val="Heading2"/>
      </w:pPr>
      <w:r>
        <w:t>本次实验要回答什么</w:t>
      </w:r>
    </w:p>
    <w:p>
      <w:r>
        <w:t>给模型一句明确的产品方向，例如“面向年轻消费者的时尚电商网站”，由模型自主搜集参考、拆解知识、探索风格，并在过程中逐步补齐任务、范围与约束，生成执行指令和网站。要验证的是：相同业务目标下，能否反复产出整体风格明显不同、功能完整且可追溯的网站。</w:t>
      </w:r>
    </w:p>
    <w:p>
      <w:r>
        <w:t>当前电商案例已经形成 Studio、Paper、Soft 三种呈现方式，并暴露出素材绑定、异常布局、配置漂移等具体问题。它支持继续验证这条生产路径；稳定性、全站视觉质量与规模化收益仍需通过受控实验确认。</w:t>
      </w:r>
    </w:p>
    <w:p>
      <w:pPr>
        <w:pStyle w:val="Heading2"/>
      </w:pPr>
      <w:r>
        <w:t>方案的核心选择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288"/>
        <w:gridCol w:w="3458"/>
      </w:tblGrid>
      <w:tr>
        <w:trPr>
          <w:cantSplit/>
          <w:tblHeader/>
        </w:trPr>
        <w:tc>
          <w:tcPr>
            <w:tcW w:type="dxa" w:w="311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固定什么</w:t>
            </w:r>
          </w:p>
        </w:tc>
        <w:tc>
          <w:tcPr>
            <w:tcW w:type="dxa" w:w="328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开放什么</w:t>
            </w:r>
          </w:p>
        </w:tc>
        <w:tc>
          <w:tcPr>
            <w:tcW w:type="dxa" w:w="345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如何判断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用户任务、商品事实、必需信息、业务状态和结果</w:t>
            </w:r>
          </w:p>
        </w:tc>
        <w:tc>
          <w:tcPr>
            <w:tcW w:type="dxa" w:w="32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布局、信息分组、字体、配色、表面、密度、组件形态、图片组织</w:t>
            </w:r>
          </w:p>
        </w:tc>
        <w:tc>
          <w:tcPr>
            <w:tcW w:type="dxa" w:w="345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先确认单方向可用，再比较方向差异，最后检查跨页一致性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统一内容、素材身份与比较场景</w:t>
            </w:r>
          </w:p>
        </w:tc>
        <w:tc>
          <w:tcPr>
            <w:tcW w:type="dxa" w:w="328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允许不同 Blueprint 和 DOM 结构</w:t>
            </w:r>
          </w:p>
        </w:tc>
        <w:tc>
          <w:tcPr>
            <w:tcW w:type="dxa" w:w="345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参数差异用于候选筛选；实际截图与操作用于实现验收</w:t>
            </w:r>
          </w:p>
        </w:tc>
      </w:tr>
    </w:tbl>
    <w:p/>
    <w:p>
      <w:pPr>
        <w:pStyle w:val="Heading2"/>
      </w:pPr>
      <w:r>
        <w:t>默认生产规模</w:t>
      </w:r>
    </w:p>
    <w:p>
      <w:r>
        <w:t>探索12个候选，筛选3个执行方向。候选数是研究预算，不是已验证风格数。单页模式输出3份页面 Prompt；网站模式输出3份方向总控 Prompt，并按页面职责生成执行 Prompt。例如首页、列表页、详情页共9份页面 Prompt，仍然只有3种风格。</w:t>
      </w:r>
    </w:p>
    <w:p>
      <w:pPr>
        <w:pStyle w:val="Heading2"/>
      </w:pPr>
      <w:r>
        <w:t>阅读路径</w:t>
      </w:r>
    </w:p>
    <w:p>
      <w:r>
        <w:t>第2–3页：八步生产流程与阶段门槛。第4–5页：多样性机制和筛选方法。第6–8页：记录字段、关系与执行映射。第9–10页：电商案例和回归经验。第11页：评估与下一轮安排。第12–15页：可复制的两轮 Prompt。</w:t>
      </w:r>
    </w:p>
    <w:p>
      <w:r>
        <w:t>本方案用于原型生产与实验评估。网站完成指约定范围内的功能和设计验收；真实支付、运营数据、安全审计与上线准备应另设生产发布验收。</w:t>
      </w:r>
    </w:p>
    <w:p>
      <w:r>
        <w:br w:type="page"/>
      </w:r>
    </w:p>
    <w:p>
      <w:pPr>
        <w:pStyle w:val="Heading1"/>
      </w:pPr>
      <w:r>
        <w:t>01 从方向到设计候选</w:t>
      </w:r>
    </w:p>
    <w:p>
      <w:r>
        <w:t>模型先形成可执行的工作假设，再用证据修订。用户未提供完整 PRD 时，不应把所有缺口变成审批问题；涉及真实业务承诺或范围冲突时，再提出最少的必要问题。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3005"/>
        <w:gridCol w:w="2891"/>
      </w:tblGrid>
      <w:tr>
        <w:trPr>
          <w:cantSplit/>
          <w:tblHeader/>
        </w:trPr>
        <w:tc>
          <w:tcPr>
            <w:tcW w:type="dxa" w:w="1020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94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模型操作与产出</w:t>
            </w:r>
          </w:p>
        </w:tc>
        <w:tc>
          <w:tcPr>
            <w:tcW w:type="dxa" w:w="3005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记录重点</w:t>
            </w:r>
          </w:p>
        </w:tc>
        <w:tc>
          <w:tcPr>
            <w:tcW w:type="dxa" w:w="289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1 理解方向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整理初始 Brief、页面地图与 Journey；说明用户如何完成核心任务。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用户要求与模型假设分开；业务对象、必需能力、成功条件、范围、固定项与可变项。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核心任务和首批范围可执行；关键冲突已解决，其他未知有明确假设。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2 定向 sourcing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按知识缺口检索设计参考与可用素材；冻结证据快照。</w:t>
            </w:r>
          </w:p>
        </w:tc>
        <w:tc>
          <w:tcPr>
            <w:tcW w:type="dxa" w:w="300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查询目标、来源类型、预算、时间、视口、状态、实际文件、使用依据、停止原因。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关键设计问题有依据，或预算已用尽且有可用替代方案；关键素材依赖明确。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3 沉淀知识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提炼 Journey、Blueprint、组件状态、视觉属性、DS规则和素材要求；修订 Brief。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具体 claim、观察或推断、支持范围、适用条件、依赖、冲突及未解决项。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关键结论能追溯；事实、归纳、项目选择分离；无互相矛盾的有效规则。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4 探索候选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提出最多12套整体协调的设计方向及签名。</w:t>
            </w:r>
          </w:p>
        </w:tc>
        <w:tc>
          <w:tcPr>
            <w:tcW w:type="dxa" w:w="300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布局、字体、表面等实际选择；选择理由、素材依赖、原创提案和风险。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每个候选有具体设计逻辑；无仅改名的重复，缺口不会被风格标签掩盖。</w:t>
            </w:r>
          </w:p>
        </w:tc>
      </w:tr>
    </w:tbl>
    <w:p/>
    <w:p>
      <w:pPr>
        <w:pStyle w:val="Heading2"/>
      </w:pPr>
      <w:r>
        <w:t>两条检索任务分别管理</w:t>
      </w:r>
    </w:p>
    <w:p>
      <w:r>
        <w:t>设计参考回答“为何这样组织信息与行为”；产品素材回答“页面能使用什么真实资源”。前者记录观察证据，后者记录许可、实体身份与槽位适配。某张图可用于学习排版，不代表允许将其作为商品主图交付。</w:t>
      </w:r>
    </w:p>
    <w:p>
      <w:pPr>
        <w:pStyle w:val="Heading2"/>
      </w:pPr>
      <w:r>
        <w:t>默认止损机制</w:t>
      </w:r>
    </w:p>
    <w:p>
      <w:r>
        <w:t>设计参考最多检查10个候选，保留3–5个有价值来源；一个基础 Design System 候选，必要时最多两个局部规则来源；初次检索后最多两轮定向补缺。数量是上限。素材预算另列，优先主测商品；搜不到时保留缺图状态或调整已声明的模拟对象。</w:t>
      </w:r>
    </w:p>
    <w:p>
      <w:r>
        <w:t>Mobbin 仅使用实际可用工具。移动 App 证据只能支持对应局部借鉴；静态截图不证明动效、响应式或操作成功。访问失败应换来源或记录限制。</w:t>
      </w:r>
    </w:p>
    <w:p>
      <w:r>
        <w:br w:type="page"/>
      </w:r>
    </w:p>
    <w:p>
      <w:pPr>
        <w:pStyle w:val="Heading1"/>
      </w:pPr>
      <w:r>
        <w:t>02 从配置到网站完成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3005"/>
        <w:gridCol w:w="2891"/>
      </w:tblGrid>
      <w:tr>
        <w:trPr>
          <w:cantSplit/>
          <w:tblHeader/>
        </w:trPr>
        <w:tc>
          <w:tcPr>
            <w:tcW w:type="dxa" w:w="1020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94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模型操作与产出</w:t>
            </w:r>
          </w:p>
        </w:tc>
        <w:tc>
          <w:tcPr>
            <w:tcW w:type="dxa" w:w="3005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记录重点</w:t>
            </w:r>
          </w:p>
        </w:tc>
        <w:tc>
          <w:tcPr>
            <w:tcW w:type="dxa" w:w="289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5 选定方向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先检查兼容性，再去重和比较；默认选3种。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硬约束结果、成对差异、可比较比例、采用与淘汰理由。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候选自身成立；每对在布局、字体以及配色或表面上有明确变化。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6 编译指令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生成明确配置、3份方向总控及页面 Prompt、素材绑定和验收定义。</w:t>
            </w:r>
          </w:p>
        </w:tc>
        <w:tc>
          <w:tcPr>
            <w:tcW w:type="dxa" w:w="300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实际值与单位、视口条件、继承覆盖、异常处理、配置与Prompt版本。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无悬空引用、模板变量和虚假资源路径；必需信息及状态均已映射。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7 实现网站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先做代表页面；一个方向打通闭环，再接入其他方向。</w:t>
            </w:r>
          </w:p>
        </w:tc>
        <w:tc>
          <w:tcPr>
            <w:tcW w:type="dxa" w:w="300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共享业务、方向专属结构、构建版本、启动方式、实际URL与变更记录。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所有方向完成约定页面与核心结果；关键交互和异常已可操作。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8 验证与回写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按六类检查验收，定向修复，冻结通过的构建和经验。</w:t>
            </w:r>
          </w:p>
        </w:tc>
        <w:tc>
          <w:tcPr>
            <w:tcW w:type="dxa" w:w="300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测试条件、预期与实际、截图、缺陷根因、修复范围和剩余风险。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关键缺陷关闭；约定检查已执行；未通过及未运行项明确披露。</w:t>
            </w:r>
          </w:p>
        </w:tc>
      </w:tr>
    </w:tbl>
    <w:p/>
    <w:p>
      <w:pPr>
        <w:pStyle w:val="Heading2"/>
      </w:pPr>
      <w:r>
        <w:t>阶段门槛允许有边界地前进</w:t>
      </w:r>
    </w:p>
    <w:p>
      <w:r>
        <w:t>缺照片可以继续验证结构和交互，但素材视觉验收保留 blocked 或 not_run。三份配置可执行，可以进入实现；这不表示三个方向已经被证明“视觉差异明显”。网页实现后才能进行感知评审。</w:t>
      </w:r>
    </w:p>
    <w:p>
      <w:pPr>
        <w:pStyle w:val="Heading2"/>
      </w:pPr>
      <w:r>
        <w:t>发现问题应回到哪里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948"/>
        <w:gridCol w:w="4025"/>
      </w:tblGrid>
      <w:tr>
        <w:trPr>
          <w:cantSplit/>
          <w:tblHeader/>
        </w:trPr>
        <w:tc>
          <w:tcPr>
            <w:tcW w:type="dxa" w:w="289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294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修复入口</w:t>
            </w:r>
          </w:p>
        </w:tc>
        <w:tc>
          <w:tcPr>
            <w:tcW w:type="dxa" w:w="4025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必须同步的记录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素材身份或裁切不合适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第2步素材选择或第6步槽位绑定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素材清单、使用槽位、衍生关系、受影响截图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知识或有效规则相互冲突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第3步知识与规则</w:t>
            </w:r>
          </w:p>
        </w:tc>
        <w:tc>
          <w:tcPr>
            <w:tcW w:type="dxa" w:w="402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supersedes关系、适用范围、受影响配置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方向过于相似或内部不协调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第4–5步候选组合与选择</w:t>
            </w:r>
          </w:p>
        </w:tc>
        <w:tc>
          <w:tcPr>
            <w:tcW w:type="dxa" w:w="402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签名、选择理由、重新比较的方向对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配置缺项或实现未遵循配置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第6步配置或第7步代码</w:t>
            </w:r>
          </w:p>
        </w:tc>
        <w:tc>
          <w:tcPr>
            <w:tcW w:type="dxa" w:w="402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配置版本、构建版本、定向回归结果</w:t>
            </w:r>
          </w:p>
        </w:tc>
      </w:tr>
    </w:tbl>
    <w:p/>
    <w:p>
      <w:r>
        <w:t>第一轮以实验包和生成指令交付为止；第二轮在冻结输入后进入实现。两轮是任务边界，不限定必须由哪个模型担任。使用 Claude 或 Codex 时，均遵守同一输入输出契约。</w:t>
      </w:r>
    </w:p>
    <w:p>
      <w:r>
        <w:br w:type="page"/>
      </w:r>
    </w:p>
    <w:p>
      <w:pPr>
        <w:pStyle w:val="Heading1"/>
      </w:pPr>
      <w:r>
        <w:t>03 多样性如何产生</w:t>
      </w:r>
    </w:p>
    <w:p>
      <w:r>
        <w:t>多样性来自“受约束的设计组合＋实际页面比较”。模型先提出能共同表达一个方向的选择，再验证这些选择能否承载同一业务任务。已有知识提供依据，新的组合可以作为设计提案进入实验。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572"/>
        <w:gridCol w:w="4309"/>
      </w:tblGrid>
      <w:tr>
        <w:trPr>
          <w:cantSplit/>
          <w:tblHeader/>
        </w:trPr>
        <w:tc>
          <w:tcPr>
            <w:tcW w:type="dxa" w:w="1984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3572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可变化内容</w:t>
            </w:r>
          </w:p>
        </w:tc>
        <w:tc>
          <w:tcPr>
            <w:tcW w:type="dxa" w:w="4309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组合时需要检查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Layout 布局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列数、区域关系、购买区位置、阅读顺序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必需信息完整；宽度容量与手机顺序成立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Typography 字体</w:t>
            </w:r>
          </w:p>
        </w:tc>
        <w:tc>
          <w:tcPr>
            <w:tcW w:type="dxa" w:w="357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家族、层级、字重、字号、大小写</w:t>
            </w:r>
          </w:p>
        </w:tc>
        <w:tc>
          <w:tcPr>
            <w:tcW w:type="dxa" w:w="430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资源可用；长文本与交互标签可读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Imagery 图片组织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缩略图切换、纵向序列、细节图、比例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照片身份可靠；主体保留；视角数量足够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Density 密度</w:t>
            </w:r>
          </w:p>
        </w:tc>
        <w:tc>
          <w:tcPr>
            <w:tcW w:type="dxa" w:w="357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留白、间距、信息展开程度</w:t>
            </w:r>
          </w:p>
        </w:tc>
        <w:tc>
          <w:tcPr>
            <w:tcW w:type="dxa" w:w="430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操作空间与内容长度可承受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Component forms 组件形态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网格按钮、文字行、胶囊、抽屉、折叠区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相同状态与业务结果；键盘和焦点可用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Surface 表面</w:t>
            </w:r>
          </w:p>
        </w:tc>
        <w:tc>
          <w:tcPr>
            <w:tcW w:type="dxa" w:w="357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直角、圆角、边框、层次、容器分组</w:t>
            </w:r>
          </w:p>
        </w:tc>
        <w:tc>
          <w:tcPr>
            <w:tcW w:type="dxa" w:w="430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系统一致；容器承担明确分组作用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Palette 配色</w:t>
            </w:r>
          </w:p>
        </w:tc>
        <w:tc>
          <w:tcPr>
            <w:tcW w:type="dxa" w:w="35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语义角色、背景、主操作、选中与反馈</w:t>
            </w:r>
          </w:p>
        </w:tc>
        <w:tc>
          <w:tcPr>
            <w:tcW w:type="dxa" w:w="430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具体前景背景配对；状态不只靠颜色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Navigation 导航</w:t>
            </w:r>
          </w:p>
        </w:tc>
        <w:tc>
          <w:tcPr>
            <w:tcW w:type="dxa" w:w="357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工具栏、文字导航、侧栏、手机入口</w:t>
            </w:r>
          </w:p>
        </w:tc>
        <w:tc>
          <w:tcPr>
            <w:tcW w:type="dxa" w:w="430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页面职责可达；跨页返回与上下文保留</w:t>
            </w:r>
          </w:p>
        </w:tc>
      </w:tr>
    </w:tbl>
    <w:p/>
    <w:p>
      <w:pPr>
        <w:pStyle w:val="Heading2"/>
      </w:pPr>
      <w:r>
        <w:t>从组合到选定的四道门槛</w:t>
      </w:r>
    </w:p>
    <w:p>
      <w:r>
        <w:t>① 任务兼容：排除违反业务不变量、信息容量或资源条件的方向。② 内部协调：解释字体、布局与表面如何共同支持设计意图，避免随机拼接。③ 候选差异：通过结构化签名比较，筛选代表性方向。④ 实现差异：网页生成后，在同内容、同素材、同视口和同状态下并排评审。</w:t>
      </w:r>
    </w:p>
    <w:p>
      <w:r>
        <w:t>本轮探索约束：每对入选方向至少在一个整体布局或信息组织维度、一个显著字体维度，以及配色或表面维度上有明确变化。Motion 暂时共享最小反馈策略；如需探索差异，应另行声明为实验变量。</w:t>
      </w:r>
    </w:p>
    <w:p>
      <w:pPr>
        <w:pStyle w:val="Heading2"/>
      </w:pPr>
      <w:r>
        <w:t>如何扩展到更多方向</w:t>
      </w:r>
    </w:p>
    <w:p>
      <w:r>
        <w:t>先把3个方向的生产和验收跑稳定，再分批增加候选。分别统计“提出、配置可执行、代表页面通过、全站通过”的数量。扩展到10–20种风格时复用组件能力与业务规则，允许新布局和新组合；不能把20个风格名称当成20份有效设计。</w:t>
      </w:r>
    </w:p>
    <w:p>
      <w:r>
        <w:br w:type="page"/>
      </w:r>
    </w:p>
    <w:p>
      <w:pPr>
        <w:pStyle w:val="Heading1"/>
      </w:pPr>
      <w:r>
        <w:t>04 候选距离与感知评审</w:t>
      </w:r>
    </w:p>
    <w:p>
      <w:r>
        <w:t>原方案中的权重可以保留为待验证的筛选假设，但必须先定义差异如何编码。候选距离只决定优先实现哪些方案；网页生成前不能声称已经完成 Perceptual Diversity Review。</w:t>
      </w:r>
    </w:p>
    <w:p>
      <w:pPr>
        <w:pStyle w:val="Heading2"/>
      </w:pPr>
      <w:r>
        <w:t>可复算的候选筛选方案</w:t>
      </w:r>
    </w:p>
    <w:p>
      <w:r>
        <w:t>为每个维度预先登记可观察的子属性与编码规则。类别值使用相同为0、不同为1；有序值按预先定义的等级差归一化；数值按预设范围归一化并截断到0–1。每个维度对子属性取平均，得到该维度差异 d。未知项从计算中剔除，不当成差异。</w:t>
      </w:r>
    </w:p>
    <w:p>
      <w:r>
        <w:t>成对距离 D = 已知且适用维度的 Σ(w × d) ÷ Σw。可比较比例 C = 已知且适用维度权重之和 ÷ 全部适用维度权重之和。全部未知时 D 不计算。维度内部也报告有效子属性数，避免一个已知字段代表整个维度。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rPr>
          <w:cantSplit/>
          <w:tblHeader/>
        </w:trPr>
        <w:tc>
          <w:tcPr>
            <w:tcW w:type="dxa" w:w="170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020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布局</w:t>
            </w:r>
          </w:p>
        </w:tc>
        <w:tc>
          <w:tcPr>
            <w:tcW w:type="dxa" w:w="1020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字体</w:t>
            </w:r>
          </w:p>
        </w:tc>
        <w:tc>
          <w:tcPr>
            <w:tcW w:type="dxa" w:w="1020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图片</w:t>
            </w:r>
          </w:p>
        </w:tc>
        <w:tc>
          <w:tcPr>
            <w:tcW w:type="dxa" w:w="1020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1020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密度</w:t>
            </w:r>
          </w:p>
        </w:tc>
        <w:tc>
          <w:tcPr>
            <w:tcW w:type="dxa" w:w="1020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表面</w:t>
            </w:r>
          </w:p>
        </w:tc>
        <w:tc>
          <w:tcPr>
            <w:tcW w:type="dxa" w:w="1020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配色</w:t>
            </w:r>
          </w:p>
        </w:tc>
        <w:tc>
          <w:tcPr>
            <w:tcW w:type="dxa" w:w="1020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导航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示例权重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0.25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0.20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0.15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0.15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0.10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0.05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0.05</w:t>
            </w:r>
          </w:p>
        </w:tc>
        <w:tc>
          <w:tcPr>
            <w:tcW w:type="dxa" w:w="10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0.05</w:t>
            </w:r>
          </w:p>
        </w:tc>
      </w:tr>
    </w:tbl>
    <w:p/>
    <w:p>
      <w:r>
        <w:t>以上权重沿用原方案作为试验初值，尚未证明与人的感知一致。下一轮可先约定 C≥0.8 才参与排序；阈值同样属于项目假设。记录编码表、权重版本、每维差异与缺失项，确保另一位评审可以重算。</w:t>
      </w:r>
    </w:p>
    <w:p>
      <w:pPr>
        <w:pStyle w:val="Heading2"/>
      </w:pPr>
      <w:r>
        <w:t>选择与验证的顺序</w:t>
      </w:r>
    </w:p>
    <w:p>
      <w:r>
        <w:t>先淘汰硬约束不通过的候选，再满足第3节的成对差异门槛；在可行集合中，优先选择最小成对距离较大的三元组合。距离相同时结合任务适配和素材可行性选择，并记录理由。不要为提高距离而接受不可用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762"/>
        <w:gridCol w:w="3345"/>
      </w:tblGrid>
      <w:tr>
        <w:trPr>
          <w:cantSplit/>
          <w:tblHeader/>
        </w:trPr>
        <w:tc>
          <w:tcPr>
            <w:tcW w:type="dxa" w:w="1757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评审对象</w:t>
            </w:r>
          </w:p>
        </w:tc>
        <w:tc>
          <w:tcPr>
            <w:tcW w:type="dxa" w:w="4762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观察问题</w:t>
            </w:r>
          </w:p>
        </w:tc>
        <w:tc>
          <w:tcPr>
            <w:tcW w:type="dxa" w:w="3345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结果记录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单个方向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层级是否清楚、风格是否协调、商品主体是否清晰、核心任务是否可完成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逐条 finding 与截图位置，严重程度和修复范围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方向对</w:t>
            </w:r>
          </w:p>
        </w:tc>
        <w:tc>
          <w:tcPr>
            <w:tcW w:type="dxa" w:w="476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去掉方向名后，布局、字体、图片节奏和表面能否辨认；差异是否只来自内容或缺图</w:t>
            </w:r>
          </w:p>
        </w:tc>
        <w:tc>
          <w:tcPr>
            <w:tcW w:type="dxa" w:w="334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明显／有限／不明确，具体差异证据，评审者与比较条件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同方向跨页面</w:t>
            </w:r>
          </w:p>
        </w:tc>
        <w:tc>
          <w:tcPr>
            <w:tcW w:type="dxa" w:w="476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首页、列表、详情与购物袋是否延续相同字体、表面、控件与导航逻辑</w:t>
            </w:r>
          </w:p>
        </w:tc>
        <w:tc>
          <w:tcPr>
            <w:tcW w:type="dxa" w:w="334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一致或漂移的区域，允许的页面专属变化</w:t>
            </w:r>
          </w:p>
        </w:tc>
      </w:tr>
    </w:tbl>
    <w:p/>
    <w:p>
      <w:r>
        <w:t>实际质量与差异分别记录。明显不同的页面仍可能不好用；高质量页面也可能过于相似。最终判断不合并成无法解释的“AI味分数”。</w:t>
      </w:r>
    </w:p>
    <w:p>
      <w:r>
        <w:br w:type="page"/>
      </w:r>
    </w:p>
    <w:p>
      <w:pPr>
        <w:pStyle w:val="Heading1"/>
      </w:pPr>
      <w:r>
        <w:t>05 记录体系的共同底座</w:t>
      </w:r>
    </w:p>
    <w:p>
      <w:r>
        <w:t>记录用于复用、决策、生成或验证。采用“共同追溯字段＋对象专属内容＋关系”三层结构；字段可按对象类型选用，无需让所有对象填满所有字段。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252"/>
        <w:gridCol w:w="3912"/>
      </w:tblGrid>
      <w:tr>
        <w:trPr>
          <w:cantSplit/>
          <w:tblHeader/>
        </w:trPr>
        <w:tc>
          <w:tcPr>
            <w:tcW w:type="dxa" w:w="170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信息组</w:t>
            </w:r>
          </w:p>
        </w:tc>
        <w:tc>
          <w:tcPr>
            <w:tcW w:type="dxa" w:w="4252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912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身份与版本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id / record_type / schema_version / version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稳定引用；格式版本和内容版本分开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适用范围</w:t>
            </w:r>
          </w:p>
        </w:tc>
        <w:tc>
          <w:tcPr>
            <w:tcW w:type="dxa" w:w="425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scope：category、page_type、direction_id、platform、viewport、state</w:t>
            </w:r>
          </w:p>
        </w:tc>
        <w:tc>
          <w:tcPr>
            <w:tcW w:type="dxa" w:w="391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限定规则作用于哪个页面、方向和环境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来源与依据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origin_type / evidence_support_ids / limitations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区分用户要求、实际观察、推断、项目提案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采用决策</w:t>
            </w:r>
          </w:p>
        </w:tc>
        <w:tc>
          <w:tcPr>
            <w:tcW w:type="dxa" w:w="425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decision_status / selection_reason</w:t>
            </w:r>
          </w:p>
        </w:tc>
        <w:tc>
          <w:tcPr>
            <w:tcW w:type="dxa" w:w="391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表示是否采用及原因，不等同于事实成立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演进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derived_from / supersedes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追踪派生或替代；被替代规则退出有效配置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验证链接</w:t>
            </w:r>
          </w:p>
        </w:tc>
        <w:tc>
          <w:tcPr>
            <w:tcW w:type="dxa" w:w="425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check_ids / test_run_ids</w:t>
            </w:r>
          </w:p>
        </w:tc>
        <w:tc>
          <w:tcPr>
            <w:tcW w:type="dxa" w:w="391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验证实际结果由 TestRun 保存，避免多处维护 passed</w:t>
            </w:r>
          </w:p>
        </w:tc>
      </w:tr>
    </w:tbl>
    <w:p/>
    <w:p>
      <w:pPr>
        <w:pStyle w:val="Heading2"/>
      </w:pPr>
      <w:r>
        <w:t>状态分开存储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252"/>
        <w:gridCol w:w="3912"/>
      </w:tblGrid>
      <w:tr>
        <w:trPr>
          <w:cantSplit/>
          <w:tblHeader/>
        </w:trPr>
        <w:tc>
          <w:tcPr>
            <w:tcW w:type="dxa" w:w="170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对象或用途</w:t>
            </w:r>
          </w:p>
        </w:tc>
        <w:tc>
          <w:tcPr>
            <w:tcW w:type="dxa" w:w="4252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建议枚举</w:t>
            </w:r>
          </w:p>
        </w:tc>
        <w:tc>
          <w:tcPr>
            <w:tcW w:type="dxa" w:w="3912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不能替代什么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采用决策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proposed / adopted / rejected / superseded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adopted 不代表有来源或实现通过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证据支持</w:t>
            </w:r>
          </w:p>
        </w:tc>
        <w:tc>
          <w:tcPr>
            <w:tcW w:type="dxa" w:w="425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supported / partial / refuted / unknown</w:t>
            </w:r>
          </w:p>
        </w:tc>
        <w:tc>
          <w:tcPr>
            <w:tcW w:type="dxa" w:w="391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支持一个 claim 不代表支持整个方向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观察方法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observed / measured / inferred / unknown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推断不能包装成实测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测试结果</w:t>
            </w:r>
          </w:p>
        </w:tc>
        <w:tc>
          <w:tcPr>
            <w:tcW w:type="dxa" w:w="425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not_run / passed / failed / blocked / not_applicable</w:t>
            </w:r>
          </w:p>
        </w:tc>
        <w:tc>
          <w:tcPr>
            <w:tcW w:type="dxa" w:w="391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未运行、阻塞和失败含义不同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查询执行</w:t>
            </w:r>
          </w:p>
        </w:tc>
        <w:tc>
          <w:tcPr>
            <w:tcW w:type="dxa" w:w="42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planned / running / completed / failed / skipped</w:t>
            </w:r>
          </w:p>
        </w:tc>
        <w:tc>
          <w:tcPr>
            <w:tcW w:type="dxa" w:w="391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completed 不代表找到了有效依据</w:t>
            </w:r>
          </w:p>
        </w:tc>
      </w:tr>
    </w:tbl>
    <w:p/>
    <w:p>
      <w:r>
        <w:t>在 schema 中按对象声明允许值。部分通过时拆分检查项或明确通过范围，不临时创造 partially_passed，也不把整体检查改成 passed 掩盖未覆盖项。</w:t>
      </w:r>
    </w:p>
    <w:p>
      <w:pPr>
        <w:pStyle w:val="Heading2"/>
      </w:pPr>
      <w:r>
        <w:t>证据支持必须落到具体声明</w:t>
      </w:r>
    </w:p>
    <w:p>
      <w:r>
        <w:t>例如某张桌面截图只能支持“该状态下购买区位于主图右侧”。要证明手机重排、缺图不位移或加购成功，需要对应视口、状态和动作结果的证据。Evidence 保存材料；EvidenceSupport 保存材料支持哪个 claim、支持到哪里以及有哪些限制。</w:t>
      </w:r>
    </w:p>
    <w:p>
      <w:r>
        <w:t>JSON 集合统一包含 schema_version 与 items。正式引用必须使用已登记ID；同一事实和配置只有一个权威来源，说明文档、Prompt与验收从该来源导出。</w:t>
      </w:r>
    </w:p>
    <w:p>
      <w:r>
        <w:br w:type="page"/>
      </w:r>
    </w:p>
    <w:p>
      <w:pPr>
        <w:pStyle w:val="Heading1"/>
      </w:pPr>
      <w:r>
        <w:t>06 对象需要记录的具体内容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4819"/>
        <w:gridCol w:w="2891"/>
      </w:tblGrid>
      <w:tr>
        <w:trPr>
          <w:cantSplit/>
          <w:tblHeader/>
        </w:trPr>
        <w:tc>
          <w:tcPr>
            <w:tcW w:type="dxa" w:w="2154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819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最小业务字段</w:t>
            </w:r>
          </w:p>
        </w:tc>
        <w:tc>
          <w:tcPr>
            <w:tcW w:type="dxa" w:w="289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主要关系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Brief 与 Task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用户、任务、对象、成功条件、范围、不变量、假设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Task → Journey、页面职责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RetrievalQuery</w:t>
            </w:r>
          </w:p>
        </w:tc>
        <w:tc>
          <w:tcPr>
            <w:tcW w:type="dxa" w:w="481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need_ids、source、query、expected_claim、priority、budget、stop_reason、results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缺口 → 查询 → Evidence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Evidence 与 Claim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URL或文件、时间、视口、DPR、环境、状态、操作；subject、property、value、unit、method、误差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Evidence → EvidenceSupport → Claim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Journey 与 Transition</w:t>
            </w:r>
          </w:p>
        </w:tc>
        <w:tc>
          <w:tcPr>
            <w:tcW w:type="dxa" w:w="481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from、to、trigger、guard、result、failure、recovery、请求和选项变更规则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任务 → 场景 → 组件状态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Blueprint 与 Slot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区域、父子、顺序、必需内容、容量、响应式、缺图与失败结构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页面 → Slot → Component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Component 与 State</w:t>
            </w:r>
          </w:p>
        </w:tc>
        <w:tc>
          <w:tcPr>
            <w:tcW w:type="dxa" w:w="481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内容接口、变体、正交状态、行为、尺寸、键盘、焦点、恢复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组件状态 → 语义参数与Check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DS 与 Foundation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规范版本、规则强度和例外；实际字体、尺寸、间距、颜色角色、对比配对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规范约束 → 组件；参数 → 区域状态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Style 与 Motion</w:t>
            </w:r>
          </w:p>
        </w:tc>
        <w:tc>
          <w:tcPr>
            <w:tcW w:type="dxa" w:w="481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八维签名、意图、依赖；动效触发、属性、值、时序、中断、减少动效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方向 → 页面呈现与Transition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Content 与 Asset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字段长度空值、fixture标记；商品/颜色ID、来源、使用依据、路径尺寸、派生、主体、槽位fit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真实或模拟对象 → Asset → Slot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ResolvedConfig</w:t>
            </w:r>
          </w:p>
        </w:tc>
        <w:tc>
          <w:tcPr>
            <w:tcW w:type="dxa" w:w="481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选定对象、实际值、单位条件、继承覆盖、资源、目标页面、版本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配置 → Prompt → 构建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Check 与 TestRun</w:t>
            </w:r>
          </w:p>
        </w:tc>
        <w:tc>
          <w:tcPr>
            <w:tcW w:type="dxa" w:w="481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前置、动作、预期、方法、严重度；构建、fixture、环境、实际、证据、结果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要求 → Check → TestRun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Finding 与 Repair</w:t>
            </w:r>
          </w:p>
        </w:tc>
        <w:tc>
          <w:tcPr>
            <w:tcW w:type="dxa" w:w="481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触发场景、实际偏差、根因、影响、修复范围、前后证据、回归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TestRun → 修复 → 新构建</w:t>
            </w:r>
          </w:p>
        </w:tc>
      </w:tr>
    </w:tbl>
    <w:p/>
    <w:p>
      <w:r>
        <w:t>Asset 的可用状态建议为 reference_only / permission_unknown / usable / rejected；usable 必须带项目用途的使用依据。配色归属和同款关联无法证实时保留不确定性，不以相似外观代替身份依据。</w:t>
      </w:r>
    </w:p>
    <w:p>
      <w:r>
        <w:t>缺图处理属于 Slot 的结构契约；照片裁切属于 Asset × Slot × Viewport 的绑定。一个全局 display_fit 值无法保证所有页面都保留商品主体。</w:t>
      </w:r>
    </w:p>
    <w:p>
      <w:r>
        <w:br w:type="page"/>
      </w:r>
    </w:p>
    <w:p>
      <w:pPr>
        <w:pStyle w:val="Heading1"/>
      </w:pPr>
      <w:r>
        <w:t>07 关系如何编译为执行指令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061"/>
        <w:gridCol w:w="3969"/>
      </w:tblGrid>
      <w:tr>
        <w:trPr>
          <w:cantSplit/>
          <w:tblHeader/>
        </w:trPr>
        <w:tc>
          <w:tcPr>
            <w:tcW w:type="dxa" w:w="2835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关系</w:t>
            </w:r>
          </w:p>
        </w:tc>
        <w:tc>
          <w:tcPr>
            <w:tcW w:type="dxa" w:w="306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969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必须附带的信息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supports</w:t>
            </w:r>
          </w:p>
        </w:tc>
        <w:tc>
          <w:tcPr>
            <w:tcW w:type="dxa" w:w="306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证据支持具体声明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证据位置、claim、支持范围与局限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requires / conflicts_with</w:t>
            </w:r>
          </w:p>
        </w:tc>
        <w:tc>
          <w:tcPr>
            <w:tcW w:type="dxa" w:w="306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依赖条件或不可同时成立的组合</w:t>
            </w:r>
          </w:p>
        </w:tc>
        <w:tc>
          <w:tcPr>
            <w:tcW w:type="dxa" w:w="396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触发条件、硬约束或偏好、理由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compatible_with</w:t>
            </w:r>
          </w:p>
        </w:tc>
        <w:tc>
          <w:tcPr>
            <w:tcW w:type="dxa" w:w="306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在给定条件下可以组合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依据类型；是否仅推断或已实现验证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binds_to</w:t>
            </w:r>
          </w:p>
        </w:tc>
        <w:tc>
          <w:tcPr>
            <w:tcW w:type="dxa" w:w="306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参数、素材或行为绑定到区域与状态</w:t>
            </w:r>
          </w:p>
        </w:tc>
        <w:tc>
          <w:tcPr>
            <w:tcW w:type="dxa" w:w="396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目标Slot、视口、状态、用途、实际值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inherits_from / overrides</w:t>
            </w:r>
          </w:p>
        </w:tc>
        <w:tc>
          <w:tcPr>
            <w:tcW w:type="dxa" w:w="306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继承方向规则并做允许的局部覆盖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优先级、可覆盖字段、不可覆盖业务项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fallback_to</w:t>
            </w:r>
          </w:p>
        </w:tc>
        <w:tc>
          <w:tcPr>
            <w:tcW w:type="dxa" w:w="306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资源缺失或内容异常的替代</w:t>
            </w:r>
          </w:p>
        </w:tc>
        <w:tc>
          <w:tcPr>
            <w:tcW w:type="dxa" w:w="3969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触发条件、结构、反馈、恢复方式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verified_by / supersedes</w:t>
            </w:r>
          </w:p>
        </w:tc>
        <w:tc>
          <w:tcPr>
            <w:tcW w:type="dxa" w:w="306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验证链接或版本替代</w:t>
            </w:r>
          </w:p>
        </w:tc>
        <w:tc>
          <w:tcPr>
            <w:tcW w:type="dxa" w:w="3969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检查与构建范围；旧规则失效范围</w:t>
            </w:r>
          </w:p>
        </w:tc>
      </w:tr>
    </w:tbl>
    <w:p/>
    <w:p>
      <w:pPr>
        <w:pStyle w:val="Heading2"/>
      </w:pPr>
      <w:r>
        <w:t>电商示例链路</w:t>
      </w:r>
    </w:p>
    <w:p>
      <w:r>
        <w:t>以下ID用于说明映射结构，实际运行时必须先登记对应对象。</w:t>
      </w:r>
    </w:p>
    <w:p>
      <w:r>
        <w:t>TASK-BUY 选颜色尺码并购买 → JOURNEY-BUY 选择与提交 → PAGE-PDP 商品详情 → SLOT-PURCHASE 购买区 → COMP-SIZE 尺码控件 → CONFIG-PAPER-MOBILE 明确配置 → PROMPT-PAPER-PDP → BUILD-001 → CHECK-SNAPSHOT → RUN-001。</w:t>
      </w:r>
    </w:p>
    <w:p>
      <w:r>
        <w:t>FIXTURE-JEAN 将商品、颜色、库存和共享文案绑定到三个方向；ASSET-INDIGO-FRONT 绑定主图槽位。Paper 把购买区安排在首图之后；Studio 使用紧凑控件；Soft 使用购买卡。区域与外观不同，商品身份和加购结果一致。</w:t>
      </w:r>
    </w:p>
    <w:p>
      <w:pPr>
        <w:pStyle w:val="Heading2"/>
      </w:pPr>
      <w:r>
        <w:t>同一状态如何得到不同界面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2494"/>
        <w:gridCol w:w="2551"/>
        <w:gridCol w:w="2494"/>
      </w:tblGrid>
      <w:tr>
        <w:trPr>
          <w:cantSplit/>
          <w:tblHeader/>
        </w:trPr>
        <w:tc>
          <w:tcPr>
            <w:tcW w:type="dxa" w:w="2324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语义状态或结果</w:t>
            </w:r>
          </w:p>
        </w:tc>
        <w:tc>
          <w:tcPr>
            <w:tcW w:type="dxa" w:w="2494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Studio</w:t>
            </w:r>
          </w:p>
        </w:tc>
        <w:tc>
          <w:tcPr>
            <w:tcW w:type="dxa" w:w="255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Paper</w:t>
            </w:r>
          </w:p>
        </w:tc>
        <w:tc>
          <w:tcPr>
            <w:tcW w:type="dxa" w:w="2494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Soft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尺码可选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矩形按钮网格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带库存信息的文字行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胶囊按钮网格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已选中</w:t>
            </w:r>
          </w:p>
        </w:tc>
        <w:tc>
          <w:tcPr>
            <w:tcW w:type="dxa" w:w="249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边界或标记＋可访问选中状态</w:t>
            </w:r>
          </w:p>
        </w:tc>
        <w:tc>
          <w:tcPr>
            <w:tcW w:type="dxa" w:w="255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行标记＋可访问选中状态</w:t>
            </w:r>
          </w:p>
        </w:tc>
        <w:tc>
          <w:tcPr>
            <w:tcW w:type="dxa" w:w="249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标记＋可访问选中状态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提交请求中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按钮反馈＋请求锁</w:t>
            </w:r>
          </w:p>
        </w:tc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按钮反馈＋请求锁</w:t>
            </w:r>
          </w:p>
        </w:tc>
        <w:tc>
          <w:tcPr>
            <w:tcW w:type="dxa" w:w="249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卡内反馈＋请求锁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切色与请求交错</w:t>
            </w:r>
          </w:p>
        </w:tc>
        <w:tc>
          <w:tcPr>
            <w:tcW w:type="dxa" w:w="249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响应仍归属提交时的商品颜色尺码快照</w:t>
            </w:r>
          </w:p>
        </w:tc>
        <w:tc>
          <w:tcPr>
            <w:tcW w:type="dxa" w:w="255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同左</w:t>
            </w:r>
          </w:p>
        </w:tc>
        <w:tc>
          <w:tcPr>
            <w:tcW w:type="dxa" w:w="2494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同左</w:t>
            </w:r>
          </w:p>
        </w:tc>
      </w:tr>
    </w:tbl>
    <w:p/>
    <w:p>
      <w:r>
        <w:t>编译完成意味着每个适用视口下的值、资源与行为都已解析。只有“暖色、紧凑、适当圆角”仍是方向描述；不能直接充当最终实现配置。</w:t>
      </w:r>
    </w:p>
    <w:p>
      <w:r>
        <w:br w:type="page"/>
      </w:r>
    </w:p>
    <w:p>
      <w:pPr>
        <w:pStyle w:val="Heading1"/>
      </w:pPr>
      <w:r>
        <w:t>08 电商三种方向的具体表达</w:t>
      </w:r>
    </w:p>
    <w:p>
      <w:r>
        <w:t>三种方向共享 Marlowe 品牌、商品数据与购买逻辑。下面保留原文的商品详情页截图作为表达示例；截图说明页面呈现，不单独证明字体参数、交互或视觉验收通过。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Studio Catalogue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980000" cy="1881786"/>
                  <wp:docPr id="1" name="Picture 1" descr="原文商品详情页截图 Studio Catalogu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8817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Paper Editorial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980000" cy="2985714"/>
                  <wp:docPr id="2" name="Picture 2" descr="原文商品详情页截图 Paper Editori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2985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Soft Boutique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1980000" cy="1866071"/>
                  <wp:docPr id="3" name="Picture 3" descr="原文商品详情页截图 Soft Boutiqu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18660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t>图1  原文所附三方向详情页  按相同宽度缩放  页面长度保留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835"/>
        <w:gridCol w:w="2891"/>
        <w:gridCol w:w="2891"/>
      </w:tblGrid>
      <w:tr>
        <w:trPr>
          <w:cantSplit/>
          <w:tblHeader/>
        </w:trPr>
        <w:tc>
          <w:tcPr>
            <w:tcW w:type="dxa" w:w="1247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35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Studio</w:t>
            </w:r>
          </w:p>
        </w:tc>
        <w:tc>
          <w:tcPr>
            <w:tcW w:type="dxa" w:w="289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Paper</w:t>
            </w:r>
          </w:p>
        </w:tc>
        <w:tc>
          <w:tcPr>
            <w:tcW w:type="dxa" w:w="289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Soft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布局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缩略图轨道＋主图＋购买区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信息栏＋纵向大图＋购买栏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主图与细节图＋独立购买卡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字体方向</w:t>
            </w:r>
          </w:p>
        </w:tc>
        <w:tc>
          <w:tcPr>
            <w:tcW w:type="dxa" w:w="283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IBM Plex Sans方案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Source Serif 4与功能无衬线方案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Nunito Sans方案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表面与控件</w:t>
            </w:r>
          </w:p>
        </w:tc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平面、清晰边界、矩形控件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纸色、细线、文字行、描边按钮</w:t>
            </w:r>
          </w:p>
        </w:tc>
        <w:tc>
          <w:tcPr>
            <w:tcW w:type="dxa" w:w="289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暖白卡片、圆角、胶囊按钮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手机信息顺序</w:t>
            </w:r>
          </w:p>
        </w:tc>
        <w:tc>
          <w:tcPr>
            <w:tcW w:type="dxa" w:w="283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画廊→购买信息→规格；底部主操作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首图→购买区→其余图→说明</w:t>
            </w:r>
          </w:p>
        </w:tc>
        <w:tc>
          <w:tcPr>
            <w:tcW w:type="dxa" w:w="289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画廊→购买卡→折叠详情</w:t>
            </w:r>
          </w:p>
        </w:tc>
      </w:tr>
    </w:tbl>
    <w:p/>
    <w:p>
      <w:r>
        <w:t>表中为方向配置意图；执行时需补齐实际数值、字体资源和状态绑定，并核对最终计算样式。原文中的颜色示例与截图外观并不完全一致，不能将示例JSON直接视为对应构建的有效配置。</w:t>
      </w:r>
    </w:p>
    <w:p>
      <w:r>
        <w:br w:type="page"/>
      </w:r>
    </w:p>
    <w:p>
      <w:pPr>
        <w:pStyle w:val="Heading1"/>
      </w:pPr>
      <w:r>
        <w:t>09 案例揭示了哪些生产问题</w:t>
      </w:r>
    </w:p>
    <w:p>
      <w:r>
        <w:t>已有迭代从旧单页扩展到共享网站，素材覆盖按迭代报告从1/8提升至6/8。以下经验说明应在哪里设置检查，不把历史报告中的通过范围扩大为当前全站验收。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948"/>
        <w:gridCol w:w="4365"/>
      </w:tblGrid>
      <w:tr>
        <w:trPr>
          <w:cantSplit/>
          <w:tblHeader/>
        </w:trPr>
        <w:tc>
          <w:tcPr>
            <w:tcW w:type="dxa" w:w="255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2948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生产机制上的缺口</w:t>
            </w:r>
          </w:p>
        </w:tc>
        <w:tc>
          <w:tcPr>
            <w:tcW w:type="dxa" w:w="4365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应加入的检查与回写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无照片块落入72px缩略图列，购买区移位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正常画廊DOM被隐式当成所有状态的网格结构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有图→缺图→有图，量测主图与购买区位置；为异常状态登记稳定Slot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Paper手机购买区变窄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继承的对齐规则覆盖了响应式意图</w:t>
            </w:r>
          </w:p>
        </w:tc>
        <w:tc>
          <w:tcPr>
            <w:tcW w:type="dxa" w:w="436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校验内容宽度与颜色、尺码、按钮宽度；将手机顺序与伸展规则写入配置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Soft筛选区定位不清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桌面卡片拉伸与手机Filters按钮属于不同对象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Finding必须带页面、视口、目标元素和期望；只对原触发场景宣称修复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真实照片接入旧单页而非共享站点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缺少交付目标、构建和资源路径的对应</w:t>
            </w:r>
          </w:p>
        </w:tc>
        <w:tc>
          <w:tcPr>
            <w:tcW w:type="dxa" w:w="436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截图记录URL、build_id、config_version；共享清单生成资源层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加购过程中改变选项导致响应归属风险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状态模型未显式定义提交快照和重复请求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测试请求中切色切码、双击、失败重试；商品颜色尺码快照不可漂移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大衣被裁成局部，页面仍零溢出</w:t>
            </w:r>
          </w:p>
        </w:tc>
        <w:tc>
          <w:tcPr>
            <w:tcW w:type="dxa" w:w="2948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以比例或contain/cover规则代替主体检查</w:t>
            </w:r>
          </w:p>
        </w:tc>
        <w:tc>
          <w:tcPr>
            <w:tcW w:type="dxa" w:w="4365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按素材×槽位×视口检查轮廓与主体占比；不合适时换素材或布局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无模特照片仍写模特身高与尺码</w:t>
            </w:r>
          </w:p>
        </w:tc>
        <w:tc>
          <w:tcPr>
            <w:tcW w:type="dxa" w:w="29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模拟商品文案与照片事实混在一起</w:t>
            </w:r>
          </w:p>
        </w:tc>
        <w:tc>
          <w:tcPr>
            <w:tcW w:type="dxa" w:w="436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身份与事实核对；模拟规格显式标识；无依据字段移除或改说明</w:t>
            </w:r>
          </w:p>
        </w:tc>
      </w:tr>
    </w:tbl>
    <w:p/>
    <w:p>
      <w:pPr>
        <w:pStyle w:val="Heading2"/>
      </w:pPr>
      <w:r>
        <w:t>素材覆盖与视觉质量分别汇报</w:t>
      </w:r>
    </w:p>
    <w:p>
      <w:r>
        <w:t>6/8表示商品有至少一张绑定照片的覆盖情况；它不代表视角完整、摄影一致或商品识别质量通过。不同拍摄的背景、光线和构图仍会影响列表整体观感。裁切细节不能计为新的独立拍摄视角。</w:t>
      </w:r>
    </w:p>
    <w:p>
      <w:r>
        <w:t>当前案例可用于讨论三方向生产、异常布局和素材绑定。稳定多样性、屏幕阅读器、真机与完整视觉验收仍应保留独立的待验证项。原型订单闭环也不等于真实交易能力。</w:t>
      </w:r>
    </w:p>
    <w:p>
      <w:r>
        <w:br w:type="page"/>
      </w:r>
    </w:p>
    <w:p>
      <w:pPr>
        <w:pStyle w:val="Heading1"/>
      </w:pPr>
      <w:r>
        <w:t>10 验收标准与下一轮实验</w:t>
      </w:r>
    </w:p>
    <w:p>
      <w:r>
        <w:t>Rubric应在第1–3步形成要求，在第6步编译成检查定义，在第8步产生实际结果。实现模型可以自检，但用于内部结论的视觉判断应单独记录评审者、方法和证据。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592"/>
        <w:gridCol w:w="3402"/>
      </w:tblGrid>
      <w:tr>
        <w:trPr>
          <w:cantSplit/>
          <w:tblHeader/>
        </w:trPr>
        <w:tc>
          <w:tcPr>
            <w:tcW w:type="dxa" w:w="1871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检查类</w:t>
            </w:r>
          </w:p>
        </w:tc>
        <w:tc>
          <w:tcPr>
            <w:tcW w:type="dxa" w:w="4592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3402"/>
            <w:vAlign w:val="center"/>
            <w:shd w:fill="243D50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/>
                <w:color w:val="FFFFFF"/>
                <w:sz w:val="18"/>
              </w:rPr>
              <w:t>最低记录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功能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核心路径、异步快照、重复提交、异常恢复是否正确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前置状态、操作、预期、实际、订单或购物袋结果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布局</w:t>
            </w:r>
          </w:p>
        </w:tc>
        <w:tc>
          <w:tcPr>
            <w:tcW w:type="dxa" w:w="4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宽窄屏、长内容、缺图状态的结构是否稳定</w:t>
            </w:r>
          </w:p>
        </w:tc>
        <w:tc>
          <w:tcPr>
            <w:tcW w:type="dxa" w:w="340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视口、目标元素边界、截图、允许误差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素材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身份、许可、主体、裁切与缺图是否正确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asset_id、slot_id、视口、主体检查结果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单方向视觉</w:t>
            </w:r>
          </w:p>
        </w:tc>
        <w:tc>
          <w:tcPr>
            <w:tcW w:type="dxa" w:w="4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层级、字体、表面、密度是否协调可读</w:t>
            </w:r>
          </w:p>
        </w:tc>
        <w:tc>
          <w:tcPr>
            <w:tcW w:type="dxa" w:w="340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区域finding、截图、严重度、修复范围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多样性</w:t>
            </w:r>
          </w:p>
        </w:tc>
        <w:tc>
          <w:tcPr>
            <w:tcW w:type="dxa" w:w="4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同条件下能否辨认出整体方向差异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方向对、比较条件、具体差异、评审结果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跨页一致性</w:t>
            </w:r>
          </w:p>
        </w:tc>
        <w:tc>
          <w:tcPr>
            <w:tcW w:type="dxa" w:w="459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方向是否在首页到订单间持续成立</w:t>
            </w:r>
          </w:p>
        </w:tc>
        <w:tc>
          <w:tcPr>
            <w:tcW w:type="dxa" w:w="3402"/>
            <w:vAlign w:val="center"/>
            <w:shd w:fill="F3F6F8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69" w:lineRule="auto"/>
            </w:pPr>
            <w:r>
              <w:rPr>
                <w:b w:val="0"/>
                <w:color w:val="202020"/>
                <w:sz w:val="18"/>
              </w:rPr>
              <w:t>页面集合、共享特征、允许变化、漂移点</w:t>
            </w:r>
          </w:p>
        </w:tc>
      </w:tr>
    </w:tbl>
    <w:p/>
    <w:p>
      <w:pPr>
        <w:pStyle w:val="Heading2"/>
      </w:pPr>
      <w:r>
        <w:t>下一轮建议采用受控对照</w:t>
      </w:r>
    </w:p>
    <w:p>
      <w:r>
        <w:t>在相同模型版本、业务范围、内容、可用素材和总预算下，对比“直接描述需求生成”与“本方案分阶段生产”。建议每种方法至少重复3次作为小样本试验，保留种子或采样配置（可获取时）；记录失败运行，避免只展示最好的一次。样本不足时只报告描述性结果。</w:t>
      </w:r>
    </w:p>
    <w:p>
      <w:r>
        <w:t>分别记录核心任务成功率、关键缺陷数、首轮通过情况、达到验收的修复轮数、实际耗时与费用、单方向视觉finding、三对方向差异及跨页漂移。成功率的分母为预先登记并实际执行的任务；blocked和not_run另列，不隐藏在通过率中。</w:t>
      </w:r>
    </w:p>
    <w:p>
      <w:pPr>
        <w:pStyle w:val="Heading2"/>
      </w:pPr>
      <w:r>
        <w:t>实施优先级与责任</w:t>
      </w:r>
    </w:p>
    <w:p>
      <w:r>
        <w:t>优先补齐三项：① 冻结共同fixture、检查清单和构建证据；② 将配置与Prompt统一来源，关闭规则冲突；③ 对相同素材下的三方向做独立并排评审。之后再增加候选数量或建设自动评分系统。</w:t>
      </w:r>
    </w:p>
    <w:p>
      <w:r>
        <w:t>产品负责人确认关键业务范围和成功条件；模型完成研究、配置、实现与自检；设计评审者记录单方向和成对视觉判断；工程评审者确认关键状态与实现边界。日常可逆设计选择由模型推进，关键业务冲突才升级决策。</w:t>
      </w:r>
    </w:p>
    <w:p>
      <w:r>
        <w:t>分享依据：原《WebDev迭代尝试方向》《第一轮Prompt》《第二轮Prompt》及电商迭代记录。页面截图来自原文；评分编码、对照设计和阶段门槛为下一轮实验方案，尚不属于已验证效果。</w:t>
      </w:r>
    </w:p>
    <w:p>
      <w:r>
        <w:br w:type="page"/>
      </w:r>
    </w:p>
    <w:p>
      <w:pPr>
        <w:pStyle w:val="Heading1"/>
      </w:pPr>
      <w:r>
        <w:t>附录A 第一轮Prompt 研究与编译</w:t>
      </w:r>
    </w:p>
    <w:p>
      <w:r>
        <w:t>复制范围：本页与下一页全部正文。适用于Claude或Codex。输出实验包后停止，不进入网页实现。</w:t>
      </w:r>
    </w:p>
    <w:p>
      <w:pPr>
        <w:pStyle w:val="Heading2"/>
      </w:pPr>
      <w:r>
        <w:t>角色与目标</w:t>
      </w:r>
    </w:p>
    <w:p>
      <w:r>
        <w:t>你是一名AI产品设计与Prompt工程负责人。请从一个产品方向建立多风格网站设计与生产实验包，探索最多12个协调的风格候选，筛选3个可执行且整体差异明确的方向，输出实际配置、方向总控Prompt、首批页面Prompt与检查定义。本轮不实现网页、不部署、不建设全品类平台。</w:t>
      </w:r>
    </w:p>
    <w:p>
      <w:pPr>
        <w:pStyle w:val="Heading2"/>
      </w:pPr>
      <w:r>
        <w:t>输入与自主推进规则</w:t>
      </w:r>
    </w:p>
    <w:p>
      <w:r>
        <w:t>产品方向：&lt;必填&gt;。目标用户、核心任务、品牌、技术栈、已有DS、参考链接、截图视频、素材目录、输出目录：&lt;可选&gt;。目标默认响应式网站。页面范围未给出时，先从核心任务推导最小闭环，并标为工作假设。只有产品方向缺失、真实业务冲突或无合理默认值时才询问；其他事项记录假设后继续。</w:t>
      </w:r>
    </w:p>
    <w:p>
      <w:pPr>
        <w:pStyle w:val="Heading2"/>
      </w:pPr>
      <w:r>
        <w:t>一 建立Brief和任务路径</w:t>
      </w:r>
    </w:p>
    <w:p>
      <w:r>
        <w:t>整理用户、任务、业务对象、成功条件、页面职责、Journey与状态转换。区分用户要求、模型假设与来源观察。固定业务事实、共享文案、必需信息、状态和结果；允许布局、信息分组、字体、颜色、表面、密度、组件形式和图片组织改变，不强制相同Blueprint。研究结束前修订并冻结本轮Brief。</w:t>
      </w:r>
    </w:p>
    <w:p>
      <w:pPr>
        <w:pStyle w:val="Heading2"/>
      </w:pPr>
      <w:r>
        <w:t>二 定向检索设计证据与素材</w:t>
      </w:r>
    </w:p>
    <w:p>
      <w:r>
        <w:t>先列need_ids、来源、query、预期claim、优先级、预算和停止条件。使用已有资料、真实网页、实际可用的Mobbin工具及官方DS文档。最多检查10个设计候选，保留3–5个；一个基础DS，最多两个局部规则来源；初次检索后最多两轮补缺。不凑数量，不编造工具或结果，不绕过访问控制，不自行购买或安装。</w:t>
      </w:r>
    </w:p>
    <w:p>
      <w:r>
        <w:t>素材检索单独列预算，先定义主测对象和槽位。记录商品与颜色身份、来源、项目用途的使用依据、实际文件、尺寸、独立照片或派生关系、主体范围。按素材×槽位×视口决定fit与焦点；不单凭比例cover，不用其他商品冒充，不把裁切计为独立视角。无法取得合适素材时保留缺图或调整明确的模拟对象；未经授权不生成图片。</w:t>
      </w:r>
    </w:p>
    <w:p>
      <w:pPr>
        <w:pStyle w:val="Heading2"/>
      </w:pPr>
      <w:r>
        <w:t>三 冻结证据和提炼知识</w:t>
      </w:r>
    </w:p>
    <w:p>
      <w:r>
        <w:t>保存URL或来源位置、时间、视口、DPR、环境、状态、操作、证据文件与限制，生成capture-snapshot。来源事实、知识归纳和项目选择分开。逐条记录claim的属性、值、单位、方法、误差或未知原因。EvidenceSupport必须支持具体声明；DOM存在、可见、可操作、结果出现和动效观察分别判断。</w:t>
      </w:r>
    </w:p>
    <w:p>
      <w:r>
        <w:t>按任务提炼Journey、Blueprint、Slot、Component、State、Foundation、Palette、Motion、内容素材要求和质量规则。截图不证明动画或响应式；来源共存不证明跨项目兼容。证据不足时允许原创提案，明确其验证责任。规则不应把圆角、阴影、卡片或大字一概判为低质量。</w:t>
      </w:r>
    </w:p>
    <w:p>
      <w:r>
        <w:br w:type="page"/>
      </w:r>
    </w:p>
    <w:p>
      <w:pPr>
        <w:pStyle w:val="Heading1"/>
      </w:pPr>
      <w:r>
        <w:t>附录A 第一轮Prompt 选择与交付</w:t>
      </w:r>
    </w:p>
    <w:p>
      <w:pPr>
        <w:pStyle w:val="Heading2"/>
      </w:pPr>
      <w:r>
        <w:t>四 记录结构与关系</w:t>
      </w:r>
    </w:p>
    <w:p>
      <w:r>
        <w:t>所有集合使用schema_version与items。共同字段：id、record_type、version、scope、origin_type、evidence_support_ids、decision_status、selection_reason、limitations、derived_from、supersedes。按对象补充业务内容；schema_version是格式版本，version是内容版本。</w:t>
      </w:r>
    </w:p>
    <w:p>
      <w:r>
        <w:t>单独保存Check定义与TestRun结果；采用决策、证据支持、观察方法、查询执行、实现验证分别定义枚举。关系使用supports、requires、conflicts_with、compatible_with、binds_to、inherits_from、overrides、fallback_to、verified_by、supersedes，并附条件、理由与依据。所有端点真实存在；硬约束与偏好分开。</w:t>
      </w:r>
    </w:p>
    <w:p>
      <w:pPr>
        <w:pStyle w:val="Heading2"/>
      </w:pPr>
      <w:r>
        <w:t>五 探索并筛选方向</w:t>
      </w:r>
    </w:p>
    <w:p>
      <w:r>
        <w:t>每个候选记录意图、八维签名、具体设计选择、适用条件、素材依赖、风险及来源或原创依据。八维为布局、字体、图片组织、密度、组件形态、表面、配色、导航。无法形成12个有效候选时交付实际数量和原因，不用改名补足。</w:t>
      </w:r>
    </w:p>
    <w:p>
      <w:r>
        <w:t>先检查任务、内容容量、状态、素材和规则兼容性，再去重选择3种。每对至少在整体布局、显著字体、配色或表面维度存在变化。若计算距离，先固定子属性编码、归一化、权重和可比较门槛，输出各维差异与未知项；未知不计差异。距离仅辅助选候选，页面实现后的感知评审另设Check。</w:t>
      </w:r>
    </w:p>
    <w:p>
      <w:pPr>
        <w:pStyle w:val="Heading2"/>
      </w:pPr>
      <w:r>
        <w:t>六 编译为具体配置与Prompt</w:t>
      </w:r>
    </w:p>
    <w:p>
      <w:r>
        <w:t>建立目标→Journey→页面→Blueprint→Slot/Component→参数/行为/素材→Check的真实映射。将字体资源、尺寸、颜色角色、间距、断点、状态与异常规则解析为实际值、单位和生效条件。定义继承、允许覆盖与fallback；不得覆盖业务不变量。</w:t>
      </w:r>
    </w:p>
    <w:p>
      <w:r>
        <w:t>异步操作必须定义提交快照、请求锁、重复激活、请求中变更选项、响应归属及失败重试。定义缺图、断链、长文案和字体失败的稳定结构。检查可用宽度；不直接把参考尺寸复制为所有视口的固定宽度。Motion默认共享最小反馈及减少动效策略。</w:t>
      </w:r>
    </w:p>
    <w:p>
      <w:r>
        <w:t>单页模式每方向1份页面Prompt，共3份。网站模式每方向1份总控Prompt，共3份；按首批页面职责生成页面Prompt，例如3方向×首页/列表/详情共9份。每份可独立执行：附实际任务、内容、结构、参数、资源、行为、响应式、质量规则、检查和限制。使用确定版本的真实文件补充上下文，不能只依赖风格名或内部ID。</w:t>
      </w:r>
    </w:p>
    <w:p>
      <w:pPr>
        <w:pStyle w:val="Heading2"/>
      </w:pPr>
      <w:r>
        <w:t>七 校验交付并停止</w:t>
      </w:r>
    </w:p>
    <w:p>
      <w:r>
        <w:t>最小产物：brief.json、sourcing.json、evidence/、knowledge.json、directions.json、assets-manifest.json、resolved-configs.json、prompts/、validation/和schema.md。允许按对象合并文件，保证唯一正式来源；从配置生成Prompt和检查，归档被替代规则。</w:t>
      </w:r>
    </w:p>
    <w:p>
      <w:r>
        <w:t>执行JSON解析、ID唯一与引用、实际资源存在、固定项一致、允许差异、参数展开、配置与Prompt一致性检查；抽查关键证据支持范围，导出一条真实追溯链。未实现网页的功能与视觉检查全部not_run。汇报实际候选数、选定方向、Prompt数量、证据与假设、素材缺口、已执行检查，然后停止。</w:t>
      </w:r>
    </w:p>
    <w:p>
      <w:r>
        <w:br w:type="page"/>
      </w:r>
    </w:p>
    <w:p>
      <w:pPr>
        <w:pStyle w:val="Heading1"/>
      </w:pPr>
      <w:r>
        <w:t>附录B 第二轮Prompt 实现与回归</w:t>
      </w:r>
    </w:p>
    <w:p>
      <w:r>
        <w:t>复制范围：本页与下一页全部正文。输入第一轮实验包及其实际路径。按约定范围完成网站，不自动部署。</w:t>
      </w:r>
    </w:p>
    <w:p>
      <w:pPr>
        <w:pStyle w:val="Heading2"/>
      </w:pPr>
      <w:r>
        <w:t>角色目标与输入冻结</w:t>
      </w:r>
    </w:p>
    <w:p>
      <w:r>
        <w:t>你是一名产品设计工程师。基于已完成的实验包进入实现阶段，完成选定方向的可运行网站与实际验收。实验包目录：&lt;填写&gt;；输出目录：&lt;填写&gt;；范围或技术栈变更：&lt;可选&gt;。先读取Brief、选定配置、Prompt、素材清单、Check和缺口，记录输入版本，不重新扩大研究范围。</w:t>
      </w:r>
    </w:p>
    <w:p>
      <w:r>
        <w:t>检查是否存在过期或相互矛盾的契约。按显式supersedes和作用范围解析；无法判断且影响业务结果时再询问。默认采用可逆技术方案并记录。配置、资源、Prompt缺失时先完成可继续的部分，对受阻检查标记原因，不伪造路径或结果。</w:t>
      </w:r>
    </w:p>
    <w:p>
      <w:pPr>
        <w:pStyle w:val="Heading2"/>
      </w:pPr>
      <w:r>
        <w:t>一 建立共享业务和方向表达</w:t>
      </w:r>
    </w:p>
    <w:p>
      <w:r>
        <w:t>建立共享业务对象、数据与状态逻辑，方向可以有不同DOM、布局和组件外观。统一fixture、商品与颜色身份、库存规则、购物袋行键、订单快照与结果。不得为制造差异删减必需信息或改变商品事实。</w:t>
      </w:r>
    </w:p>
    <w:p>
      <w:r>
        <w:t>先实现3个方向的代表页面并比较风格表达，再在一个方向打通完整核心任务闭环；网站模式随后补齐其他方向的约定页面。至少使用两种页面职责检查跨页延续。先记录阶段性结果，不把一个PDP可用标为整站完成。</w:t>
      </w:r>
    </w:p>
    <w:p>
      <w:pPr>
        <w:pStyle w:val="Heading2"/>
      </w:pPr>
      <w:r>
        <w:t>二 接入素材和异常状态</w:t>
      </w:r>
    </w:p>
    <w:p>
      <w:r>
        <w:t>素材清单为正式来源，资源代码由其生成或读取。核对目标项目、页面URL和构建，防止只改旧单页。照片绑定商品与颜色；不改标签冒充、不用派生裁切替代主图。缺图、加载失败和重试保留明确且稳定的区域。</w:t>
      </w:r>
    </w:p>
    <w:p>
      <w:r>
        <w:t>在主图、卡片、色选项、购物袋、订单行分别检查同一素材。逐槽位核对主体、比例、焦点、清晰度和可读性。素材覆盖、视角完整度、摄影一致性与裁切适配分别记录，不把文件可加载视为视觉通过。</w:t>
      </w:r>
    </w:p>
    <w:p>
      <w:pPr>
        <w:pStyle w:val="Heading2"/>
      </w:pPr>
      <w:r>
        <w:t>三 实际运行结构与行为检查</w:t>
      </w:r>
    </w:p>
    <w:p>
      <w:r>
        <w:t>在配置要求的宽窄屏执行布局、键盘、焦点、长内容和异常测试；至少覆盖320、390、768、1024、1440宽度及关键断点两侧。记录桌面窄视口或设备模拟环境，不声称真机通过。</w:t>
      </w:r>
    </w:p>
    <w:p>
      <w:r>
        <w:t>电商至少测试：未选尺码、缺货、低库存、切色重建图集、有图→缺图→有图、断链重试、请求中切色切码、快速双击、失败后重试、购物袋数量与库存、结账和订单快照。锁与快照在请求存续期间有效，响应归属于提交时选项。其他品类按Journey替换用例。</w:t>
      </w:r>
    </w:p>
    <w:p>
      <w:r>
        <w:t>每条结果包含check_id、build_id、config_version、fixture、viewport、状态、动作、预期、实际、证据和限制。缺图网格要量测位置变化，不能只查横向溢出。</w:t>
      </w:r>
    </w:p>
    <w:p>
      <w:r>
        <w:br w:type="page"/>
      </w:r>
    </w:p>
    <w:p>
      <w:pPr>
        <w:pStyle w:val="Heading1"/>
      </w:pPr>
      <w:r>
        <w:t>附录B 第二轮Prompt 评审与交付</w:t>
      </w:r>
    </w:p>
    <w:p>
      <w:pPr>
        <w:pStyle w:val="Heading2"/>
      </w:pPr>
      <w:r>
        <w:t>四 分开执行六类验收</w:t>
      </w:r>
    </w:p>
    <w:p>
      <w:r>
        <w:t>分别报告功能、布局、素材适配、单方向视觉、多样性和跨页一致性。每类关联明确Check，不用单一总分掩盖失败。先确认单方向协调可用，再用相同内容、素材、视口和业务状态进行方向对比较；在图外标注方向名，避免品牌和商品不同成为混杂变量。</w:t>
      </w:r>
    </w:p>
    <w:p>
      <w:r>
        <w:t>记录实际截图差异及评审方式。参数距离不能代替感知判断，自检也不能伪装成人工独立评审。没有外部评审者时仍完成模型截图检查，并将人工判断保留not_run。仅有静态证据的状态，不宣称完成动态或辅助技术验证。</w:t>
      </w:r>
    </w:p>
    <w:p>
      <w:pPr>
        <w:pStyle w:val="Heading2"/>
      </w:pPr>
      <w:r>
        <w:t>五 定向修复并保持契约一致</w:t>
      </w:r>
    </w:p>
    <w:p>
      <w:r>
        <w:t>每个Finding明确页面、视口、目标元素、前置状态、预期和实际，不用相邻问题代替原问题。先判断根因属于知识规则、方向组合、配置、素材还是代码，再修改对应正式来源。</w:t>
      </w:r>
    </w:p>
    <w:p>
      <w:r>
        <w:t>配置错误修配置并重新生成受影响Prompt；代码偏差修实现；素材问题修绑定、换素材或调整允许的布局。规则被替代时登记supersedes并停止旧规则生效。业务或范围变化必须同步Brief、fixture、配置和Check。</w:t>
      </w:r>
    </w:p>
    <w:p>
      <w:r>
        <w:t>修复后重测原触发场景及共享层受影响路径。连续两轮同一方法没有改善时停止重复补丁，重新定位根因并记录阻塞。继续完成不受影响的工作，不通过随机重做整页制造表面变化。</w:t>
      </w:r>
    </w:p>
    <w:p>
      <w:pPr>
        <w:pStyle w:val="Heading2"/>
      </w:pPr>
      <w:r>
        <w:t>六 冻结与交付</w:t>
      </w:r>
    </w:p>
    <w:p>
      <w:r>
        <w:t>输出可运行项目、准确启动方式、各方向实际URL、构建和配置版本、关键页面及状态截图、TestRun与Finding、剩余缺口和知识回写。截图文件需能追溯到页面、视口、fixture、状态和构建，不能混用不同轮次截图支持同一次通过结论。</w:t>
      </w:r>
    </w:p>
    <w:p>
      <w:r>
        <w:t>关键缺陷未关闭不得宣称完成。报告分别列出passed、failed、blocked、not_run与不适用项；素材未完整时明确通过范围。订单闭环使用模拟支付时说明原型范围，不暗示真实交易已就绪。未经明确授权不部署、不发送外部消息。</w:t>
      </w:r>
    </w:p>
    <w:p>
      <w:r>
        <w:t>回写只沉淀有验证范围的知识。保留原始证据、旧构建与修复历史，不修改证据配合结论。单次成功不能升级为通用品类规则；需要复验的组合保留其假设状态。</w:t>
      </w:r>
    </w:p>
    <w:p>
      <w:pPr>
        <w:pStyle w:val="Heading2"/>
      </w:pPr>
      <w:r>
        <w:t>最终汇报格式</w:t>
      </w:r>
    </w:p>
    <w:p>
      <w:r>
        <w:t>1. 本轮完成的页面、方向和核心路径。</w:t>
        <w:br/>
        <w:t>2. 输入版本、构建版本、启动与访问方式。</w:t>
        <w:br/>
        <w:t>3. 六类检查的实际结果及证据位置。</w:t>
        <w:br/>
        <w:t>4. 定向修复及仍未解决的问题。</w:t>
        <w:br/>
        <w:t>5. 素材覆盖、身份限制和视觉评审范围。</w:t>
        <w:br/>
        <w:t>6. 回写内容、可复用条件及下一轮真正需要决定的事项。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WebDev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60" w:line="283" w:lineRule="auto"/>
      <w:outlineLvl w:val="0"/>
    </w:pPr>
    <w:rPr>
      <w:rFonts w:cstheme="majorBidi" w:ascii="Arial" w:hAnsi="Arial" w:eastAsia="Heiti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cstheme="majorBidi"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eastAsia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eastAsia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eastAsia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eastAsia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eastAsia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eastAsia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eastAsia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eastAsia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eastAsia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eastAsia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cstheme="majorBidi" w:ascii="Arial" w:hAnsi="Arial" w:eastAsia="Hei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eastAsia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cstheme="majorBidi" w:ascii="Arial" w:hAnsi="Arial" w:eastAsia="Heiti SC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eastAsia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eastAsia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eastAsia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eastAsia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eastAsia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eastAsia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eastAsia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Arial" w:hAnsi="Arial" w:eastAsia="Hei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eastAsia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eastAsia="Heiti SC"/>
        <w:b/>
        <w:bCs/>
      </w:rPr>
    </w:tblStylePr>
    <w:tblStylePr w:type="lastCol">
      <w:rPr>
        <w:rFonts w:cstheme="majorBidi" w:eastAsia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eastAsia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WebDev多风格网站生产实验方案</dc:title>
  <dc:subject>内部分享与执行指南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