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pStyle w:val="2"/>
        <w:bidi w:val="0"/>
        <w:jc w:val="center"/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pStyle w:val="2"/>
        <w:bidi w:val="0"/>
        <w:jc w:val="both"/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pStyle w:val="2"/>
        <w:bidi w:val="0"/>
        <w:jc w:val="center"/>
        <w:rPr>
          <w:rFonts w:hint="default" w:ascii="华康魏碑W7(P)" w:hAnsi="华康魏碑W7(P)" w:eastAsia="华康魏碑W7(P)" w:cs="华康魏碑W7(P)"/>
          <w:sz w:val="84"/>
          <w:szCs w:val="8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  <w:t>从C++11到C++20</w:t>
      </w:r>
    </w:p>
    <w:p>
      <w:pPr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rPr>
          <w:rFonts w:hint="eastAsia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rPr>
          <w:rFonts w:hint="default" w:ascii="华康魏碑W7(P)" w:hAnsi="华康魏碑W7(P)" w:eastAsia="华康魏碑W7(P)" w:cs="华康魏碑W7(P)"/>
          <w:sz w:val="84"/>
          <w:szCs w:val="84"/>
          <w:lang w:val="en-US" w:eastAsia="zh-CN"/>
        </w:rPr>
      </w:pPr>
    </w:p>
    <w:p>
      <w:pP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center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目录</w:t>
      </w:r>
    </w:p>
    <w:p>
      <w:pPr>
        <w:jc w:val="center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TODO:</w:t>
      </w:r>
    </w:p>
    <w:p>
      <w:pPr>
        <w:jc w:val="center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center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C++11</w:t>
      </w: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TODO:</w:t>
      </w: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C++14</w:t>
      </w: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TODO:</w:t>
      </w: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C++17</w:t>
      </w: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  <w:t>TODO:</w:t>
      </w: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jc w:val="both"/>
        <w:rPr>
          <w:rFonts w:hint="eastAsia" w:ascii="华康魏碑W7(P)" w:hAnsi="华康魏碑W7(P)" w:eastAsia="华康魏碑W7(P)" w:cs="华康魏碑W7(P)"/>
          <w:sz w:val="48"/>
          <w:szCs w:val="4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jc w:val="center"/>
        <w:rPr>
          <w:rFonts w:hint="eastAsia" w:ascii="华康魏碑W7(P)" w:hAnsi="华康魏碑W7(P)" w:eastAsia="华康魏碑W7(P)" w:cs="华康魏碑W7(P)"/>
          <w:b w:val="0"/>
          <w:bCs/>
          <w:sz w:val="52"/>
          <w:szCs w:val="52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b w:val="0"/>
          <w:bCs/>
          <w:sz w:val="52"/>
          <w:szCs w:val="52"/>
          <w:lang w:val="en-US" w:eastAsia="zh-CN"/>
        </w:rPr>
        <w:t>C++20</w:t>
      </w:r>
    </w:p>
    <w:p>
      <w:pPr>
        <w:numPr>
          <w:ilvl w:val="1"/>
          <w:numId w:val="1"/>
        </w:numP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Lambda的变化: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弃用[=]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与之代替的是[=,this]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Example: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struct lambda{</w:t>
      </w:r>
    </w:p>
    <w:p>
      <w:pPr>
        <w:numPr>
          <w:numId w:val="0"/>
        </w:numPr>
        <w:ind w:leftChars="0" w:firstLine="42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auto foo(){</w:t>
      </w:r>
    </w:p>
    <w:p>
      <w:pPr>
        <w:numPr>
          <w:numId w:val="0"/>
        </w:numPr>
        <w:ind w:left="420" w:leftChars="0" w:firstLine="42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return [=](int s){return n;}; //弃用警告</w:t>
      </w:r>
    </w:p>
    <w:p>
      <w:pPr>
        <w:numPr>
          <w:numId w:val="0"/>
        </w:numPr>
        <w:ind w:firstLine="42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n;</w:t>
      </w:r>
    </w:p>
    <w:p>
      <w:pPr>
        <w:numPr>
          <w:numId w:val="0"/>
        </w:numP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struct lambda1{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auto bar(){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return [=,this](int s){return n;}; //可以啦</w:t>
      </w:r>
    </w:p>
    <w:p>
      <w:pPr>
        <w:numPr>
          <w:ilvl w:val="0"/>
          <w:numId w:val="0"/>
        </w:numPr>
        <w:ind w:firstLine="42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模板lambda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如果你用vector这样的STL做一个lambda的话，可能是这样写的：</w:t>
      </w:r>
    </w:p>
    <w:p>
      <w:pPr>
        <w:numPr>
          <w:numId w:val="0"/>
        </w:numPr>
        <w:snapToGrid w:val="0"/>
        <w:spacing w:line="240" w:lineRule="auto"/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auto foo = [](std::vector&lt;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...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&gt; const&amp; vec){ };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这会让代码变得麻烦。最好的方法是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auto foo = []&lt;typename T&gt;(std::vector&lt;T&gt; const&amp; vec) { 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       //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   };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这样，模板类的lambda可以轻松完成。</w:t>
      </w:r>
    </w:p>
    <w:p>
      <w:pPr>
        <w:numPr>
          <w:ilvl w:val="1"/>
          <w:numId w:val="1"/>
        </w:numP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 __VA_OPT__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与__VA_ARGS__一起用的。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用法：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#define A(a1,...)  f(a1 __VA_OPT__( , __VA_ARGS__))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/*1.*/A(a); //替换为 f(a)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/*2.*/A(b,c,d); //替换为 f(b,c,d)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//__VA_OPT__中的内容是__VA_ARGS__非空的时候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//才会增添进代码中的。在1中，...为空，所以 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//,__VA_ARGS__没有出现。但2中，...有两个参数，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//所以逗号和c,d会出现。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这一新特性在宏定义和语法糖上会十分有用。</w:t>
      </w:r>
    </w:p>
    <w:p>
      <w:pPr>
        <w:numPr>
          <w:ilvl w:val="1"/>
          <w:numId w:val="1"/>
        </w:numP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指定初始化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struct A { int x; int y; int z; };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A a{.y = 2, .x = 1}; //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错误，没按顺序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A b{.x = 1, .z = 2}; //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可以，y被初始化为0.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特别地，union类型只能初始多个成员中的一个。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位域初始化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众所周知，这样可以指定变量的位域：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unsigned int uint3_t_val : 3;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这说明uint3_t_val是一个三位数（二进制意义上的）其数值范围是0-7.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在C++20之前，这样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x : 3 = 0;</w:t>
      </w:r>
    </w:p>
    <w:p>
      <w:pPr>
        <w:numPr>
          <w:numId w:val="0"/>
        </w:numPr>
        <w:tabs>
          <w:tab w:val="left" w:pos="2581"/>
        </w:tabs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是“病态的”。</w:t>
      </w:r>
    </w:p>
    <w:p>
      <w:pPr>
        <w:numPr>
          <w:numId w:val="0"/>
        </w:numPr>
        <w:tabs>
          <w:tab w:val="left" w:pos="2581"/>
        </w:tabs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现在，我们可以</w:t>
      </w:r>
    </w:p>
    <w:p>
      <w:pPr>
        <w:numPr>
          <w:numId w:val="0"/>
        </w:numPr>
        <w:tabs>
          <w:tab w:val="left" w:pos="2581"/>
        </w:tabs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x : 3 = 0;</w:t>
      </w:r>
    </w:p>
    <w:p>
      <w:pPr>
        <w:numPr>
          <w:numId w:val="0"/>
        </w:numPr>
        <w:tabs>
          <w:tab w:val="left" w:pos="2581"/>
        </w:tabs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或者</w:t>
      </w:r>
    </w:p>
    <w:p>
      <w:pPr>
        <w:numPr>
          <w:numId w:val="0"/>
        </w:numPr>
        <w:tabs>
          <w:tab w:val="left" w:pos="2581"/>
        </w:tabs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x : 3 {0};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const限定指针修复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其实是这样一回事……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struct X { void foo() const&amp;; }; 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X{}.foo();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//可以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(X{}.*&amp;X::foo)();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//病态了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之前有规定，如果调用这样函数用*运算符就病态了，但是上面这个例子中两个其实是一回事……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所以，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在C++20中两种写法都可以。（这好像是修复bug）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Concept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c++新增特性“四大金刚”之一。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它是要求某些操作合法还是不合法的方式。用法很多。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比如说，你要定义一个函数，接受一个参数food，就像这样：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template&lt;class T&gt;void visit(T &amp;food){if(hungry) food.eat();}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显然，T结构体必须包含一个叫eat的函数。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但是有时这样定义多个这样的函数很麻烦，或用户（或者你）忘了或根本不知道传入的参数的这一规则，这会导致查错等极其麻烦。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来，concept走起~~~</w:t>
      </w:r>
    </w:p>
    <w:p>
      <w:pPr>
        <w:numPr>
          <w:numId w:val="0"/>
        </w:numPr>
        <w:snapToGrid w:val="0"/>
        <w:spacing w:line="240" w:lineRule="auto"/>
        <w:ind w:leftChars="0"/>
        <w:jc w:val="left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template&lt;typename T&gt;concept bool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edible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= requires (T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food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) {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food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.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eat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(); };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void visit(edible &amp;food){food.eat();}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好舒服。还有一种方法是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left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template&lt;typename T&gt;concept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edible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= requires (T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food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) {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food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.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eat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(); };</w:t>
      </w:r>
    </w:p>
    <w:p>
      <w:pPr>
        <w:numPr>
          <w:ilvl w:val="0"/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template&lt;edible Food&gt;void visit(Food &amp;food){food.eat();}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还可以和constexpr连用（如果要求food.eat是constexpr的）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left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template&lt;typename T&gt;concept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edible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= requires (T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food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) {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food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.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eat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(); };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left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template&lt;edible Food&gt;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left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void visit(Food &amp;food){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left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if(constexpr(edible&lt;Food&gt;)) food.eat();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left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else throw(error);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left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三向比较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新增的运算符：&lt;=&gt;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又称飞碟运算符。需要包含&lt;compare&gt;以获得返回类型的库支持。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比较分三种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强比较：算术比较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返回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std::strong_ordering::equal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std::strong_ordering::less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std::strong_ordering::greater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其中的一个。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弱比较：用&lt; == &gt;三个运算符实现的比较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返回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std::strong_ordering::equal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std::strong_ordering::less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std::strong_ordering::greater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其中的一个。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部分比较：浮点数比较（-0==+0;）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返回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std::partial_ordering::less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std::partial_ordering::greater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std::partial_ordering::equivalent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std::partial_ordering::unordered (NaN&lt;=&gt;任何数 的结果都是unordered)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其中的一个。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其他有趣的用途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在一个class或struct中，你只要声明了&lt;=&gt;运算符，编译器会自动生成绝对正确的&lt; &gt; == &lt;= &gt;= !=运算符！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基于range的init-statement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在C++20之前，你要像这样编程：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i;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for(auto c : 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“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hello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”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){i=c;cout&lt;&lt;i&lt;&lt;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’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‘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&lt;&lt;c;}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但在C++20之后，你可以这样：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for(int i;auto c : 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“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hello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”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){i=c;cout&lt;&lt;i&lt;&lt;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’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‘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&lt;&lt;c;}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默认可构造和可分配的无状态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的lambda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简单点说，就是可以typeid和decltype的lambda……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如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decltype([&amp;](int i){return i;}) a=[&amp;](int i){return i;};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 从构造函数推导出模板参数类型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不用指定模板参数也可知道类型的升级版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vector v{vector{1, 2}}; // 正确，v 推导为vector&lt;vector&lt;int&gt;&gt;类型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tuple t{tuple{1, 2}}; //正确，t 推导为tuple&lt;int, int&gt;类型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专门的访问检查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在模板类内，可以忽略访问权限而访问到其他类内的嵌套类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class A{struct im1{int val;};}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class B{A::im1 a;}//error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template&lt;typename T&gt;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class C{A::im1 b;}//ok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constexpr函数的实例化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意思就是，假设有一个constexpr函数叫A，当调用decltype(A())时，不调用函数，仅仅取类型。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Lambda扩展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说白了就是lambda函数可以用可变参数（不同之处是三个点写在前面）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例子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template&lt;class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A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, class... Args&gt;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auto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ik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A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f, Args... args) 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return [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=std::move(f), ...args=std::move(args)]() -&gt; decltype(auto) 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return std::invoke(f, args...);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};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ADL扩展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变量使用推断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int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_1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void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_a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();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namespace N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struct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 {};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template&lt;typename T&gt; int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_0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(T);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template&lt;typename T&gt; int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_a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(T);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template&lt;typename T&gt; int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_1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(T);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int x =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_0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&lt;N::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&gt;(N::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()); // 正确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int y =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_a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&lt;N::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&gt;(N::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()); // 正确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int z =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_1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&lt;N::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&gt;(N::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H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()); // 错误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放宽基于范围的for循环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以前基于范围的for循环中的range都是必须定义begin()和end()函数的，现在这一限制放宽了，也就是说你可以这么干：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struct S{int a,b,c,d,e;};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S s{1,2,3,4,5};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for(auto x : s){/*...*/}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类类型的非类型模板参数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以前template&lt;Type T&gt;中Type不能是类。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现在放宽了这一限制。但要求运算能在编译期间完成。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[[likely]]和[[unlikely]]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用于指示switch分支结构的优化，likely表示“很大可能”落到指定分支，而unlikely表示“很小概率”落到指定分支。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switch(i) {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case 1: [[fallthrough]];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[[likely]] case 2: return 1;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[[unlikely]] case 3: return 2;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[[no_unique_address]]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这使得在类中，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同类型的对象不占用同一个地址；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当地址不够分配时，扩展空间，继续为未分配地址该属性成员分配地址，直至全部分配完毕；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该属性对空类型都有效。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如struct C{};struct D{int a;[[no_unique_address]] C b,c;};//b与c地址不同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[[nodiscard]]可以有信息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新增可选信息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[[nodiscard("hahaha")]]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char g(){return '\0';}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int main(){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ab/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 xml:space="preserve">g();//[Warning] ignoring return value of 'char g()', declared with 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ab/>
        <w:t/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ab/>
        <w:t/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ab/>
        <w:t>//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attribute 'nodiscard': 'hahaha' [-Wunused-result]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Using enum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enum a{e=3};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using enum a;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Explicit(bool)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当explicit(false)时explicit不启用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当explicit(true)时explicit启用。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例子：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class A{public:explicit(false) A(){}};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还可以这样用：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Template&lt;bool ExpUse&gt;class A{public:explicit(ExpUse) A(int n){} int n;};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虚函数也可以constexpr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如题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char8_t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编译器层面上对UTF-8的支持；库支持只有u8string……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 char8_t *a=u8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”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哈哈哈！！！</w:t>
      </w:r>
      <w:r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  <w:t>”</w:t>
      </w: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u8string u(a);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Consteval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即时函数，强制性返回常量，如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consteval int c(int x){return x*x*x;}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x=1;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y=c(x);//编译失败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z=c(1);//编译成功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constexpr不可以用try-catch语块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如题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Constinit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常量初始化表达式。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例子：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#define Int int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constexpr Int getnum1(){return 1;}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constexpr Int getnum2(){return 2;}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Int _3=3;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constinit Int a=getnum1();//OK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constinit Int b=getnum2();//OK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constinit Int c=_3;//ERROR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Inline namespace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namespace A{inline namespace B{}}</w:t>
      </w:r>
    </w:p>
    <w:p>
      <w:pPr>
        <w:numPr>
          <w:numId w:val="0"/>
        </w:numPr>
        <w:ind w:leftChars="0"/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等同于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namespace A::inline B{}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Module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TODO: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协程</w:t>
      </w: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TODO: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  <w:r>
        <w:rPr>
          <w:rFonts w:hint="eastAsia" w:ascii="华康魏碑W7(P)" w:hAnsi="华康魏碑W7(P)" w:eastAsia="华康魏碑W7(P)" w:cs="华康魏碑W7(P)"/>
          <w:sz w:val="24"/>
          <w:szCs w:val="24"/>
          <w:lang w:val="en-US" w:eastAsia="zh-CN"/>
        </w:rPr>
        <w:t>以上只是语法的改进……以下是库支持：（TODO:)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华康魏碑W7(P)" w:hAnsi="华康魏碑W7(P)" w:eastAsia="华康魏碑W7(P)" w:cs="华康魏碑W7(P)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华康魏碑W7(P)" w:hAnsi="华康魏碑W7(P)" w:eastAsia="华康魏碑W7(P)" w:cs="华康魏碑W7(P)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超世纪粗颜楷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書法家顏楷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魏碑W7(P)">
    <w:panose1 w:val="03000700000000000000"/>
    <w:charset w:val="86"/>
    <w:family w:val="auto"/>
    <w:pitch w:val="default"/>
    <w:sig w:usb0="00000001" w:usb1="0801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1F00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bia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ang">
    <w:panose1 w:val="02000500000000000000"/>
    <w:charset w:val="00"/>
    <w:family w:val="auto"/>
    <w:pitch w:val="default"/>
    <w:sig w:usb0="00000003" w:usb1="00000000" w:usb2="00000000" w:usb3="00000000" w:csb0="20000001" w:csb1="00000000"/>
  </w:font>
  <w:font w:name="monospace">
    <w:altName w:val="bia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EA7C"/>
    <w:multiLevelType w:val="multilevel"/>
    <w:tmpl w:val="4B73EA7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B2286"/>
    <w:rsid w:val="0819412E"/>
    <w:rsid w:val="08292CCB"/>
    <w:rsid w:val="0B29730D"/>
    <w:rsid w:val="0FB31FFD"/>
    <w:rsid w:val="1434350A"/>
    <w:rsid w:val="14E06405"/>
    <w:rsid w:val="18941661"/>
    <w:rsid w:val="1F0A3C43"/>
    <w:rsid w:val="2A8276FF"/>
    <w:rsid w:val="377827B6"/>
    <w:rsid w:val="42547956"/>
    <w:rsid w:val="4A3B2286"/>
    <w:rsid w:val="4AE8498B"/>
    <w:rsid w:val="4D442B92"/>
    <w:rsid w:val="502328B0"/>
    <w:rsid w:val="65904202"/>
    <w:rsid w:val="662F3183"/>
    <w:rsid w:val="6BBF15FD"/>
    <w:rsid w:val="6C530209"/>
    <w:rsid w:val="6D64580F"/>
    <w:rsid w:val="71324D7F"/>
    <w:rsid w:val="799D6FCD"/>
    <w:rsid w:val="7AE5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2020-12-26T11:15:00Z</dcterms:created>
  <dc:creator>Www</dc:creator>
  <cp:lastModifiedBy>Www</cp:lastModifiedBy>
  <dcterms:modified xsi:type="dcterms:W3CDTF">2020-12-26T14:37:32Z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