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7"/>
        </w:rPr>
        <w:t>UNCLASSIFIED / NON CLASSIFIÉ</w:t>
      </w:r>
    </w:p>
    <w:p>
      <w:r>
        <w:rPr>
          <w:b/>
          <w:sz w:val="22"/>
        </w:rPr>
        <w:t>BRIEFING NOTE</w:t>
      </w:r>
    </w:p>
    <w:p>
      <w:r>
        <w:rPr>
          <w:b/>
          <w:sz w:val="25"/>
        </w:rPr>
        <w:t>Long-term unemployment has doubled since 2023: where employment programs should focus</w:t>
      </w:r>
    </w:p>
    <w:p>
      <w:pPr>
        <w:spacing w:before="160"/>
      </w:pPr>
      <w:r>
        <w:rPr>
          <w:b/>
          <w:sz w:val="20"/>
        </w:rPr>
        <w:t>ISSUE</w:t>
      </w:r>
    </w:p>
    <w:p>
      <w:r>
        <w:t>1. About 351,600 people in Canada were unemployed for 27 weeks or more on average from January to August 2026, roughly double the 165,500 of the same months in 2023 and close to the 355,500 of January to August 2025. Nearly one in four unemployed people (24.0%) has now been out of work that long. Employment programs need to know whom to reach first.</w:t>
      </w:r>
    </w:p>
    <w:p>
      <w:pPr>
        <w:spacing w:before="160"/>
      </w:pPr>
      <w:r>
        <w:rPr>
          <w:b/>
          <w:sz w:val="20"/>
        </w:rPr>
        <w:t>BACKGROUND</w:t>
      </w:r>
    </w:p>
    <w:p>
      <w:r>
        <w:t>2. Statistics Canada counts someone as long-term unemployed after 27 weeks of continuous unemployment. Over the same January-to-August months the unemployment rate went from 5.5% in 2023 to 7.1% in 2025 and 6.8% in 2026. This analysis uses the Labour Force Survey public use microdata, about 100,000 people a month from January 2022 to August 2026, with Statistics Canada's bootstrap method for margins of error (widened for the survey's six-month panel) and its rules for which estimates are reliable enough to publish. Computed monthly, the count of long-term unemployed matched Statistics Canada's published figures in all 56 months, never off by more than 254 people or 0.14%.</w:t>
      </w:r>
    </w:p>
    <w:p>
      <w:pPr>
        <w:spacing w:before="160"/>
      </w:pPr>
      <w:r>
        <w:rPr>
          <w:b/>
          <w:sz w:val="20"/>
        </w:rPr>
        <w:t>ANALYSIS</w:t>
      </w:r>
    </w:p>
    <w:p>
      <w:r>
        <w:t>3. Who is stuck longest. The long-term share of unemployment is highest for people aged 55 and over (28.9%), immigrants who arrived more than 10 years ago (29.6%) and bachelor's degree holders (28.2%, against 22.5% for high school or less). Young people are the least likely to be out that long (18.3%), even though their unemployment rate is the highest, at 13.8%.</w:t>
      </w:r>
    </w:p>
    <w:p>
      <w:r>
        <w:t>4. Where the people are. By numbers, the largest groups are non-immigrants aged 25 to 54 (127,800; the survey's non-immigrant group also includes non-permanent residents such as international students and temporary workers), non-immigrant youth (62,000) and immigrants aged 25 to 54 who arrived more than 10 years ago (44,100, with a share of 30.6%). By province and age, Ontario's 25 to 54 group alone accounts for 106,600 long-term unemployed people, a share of 29.9%.</w:t>
      </w:r>
    </w:p>
    <w:p>
      <w:r>
        <w:t>5. Can a model pick out individuals? A pre-registered test, published before any model ran, asked whether characteristics recorded in the survey (age, education, family, province, job-search methods) could rank job searchers by their chance of being long-term unemployed. On July 2025 to August 2026 data the chosen model scored an AUC of 0.611 against a bar of 0.65, better than age alone (0.574) but not good enough to target people. Job-search methods change the longer someone is out of work, so even this describes who is currently stuck rather than predicting it at intake. The model under-predicted every group as conditions worsened; relative to that overall drift no group stood out, but its top-20% list would have reached 60% of long-term unemployed people aged 55 and over and only 4% of those aged 15 to 24.</w:t>
      </w:r>
    </w:p>
    <w:p>
      <w:pPr>
        <w:jc w:val="center"/>
      </w:pPr>
      <w:r>
        <w:drawing>
          <wp:inline xmlns:a="http://schemas.openxmlformats.org/drawingml/2006/main" xmlns:pic="http://schemas.openxmlformats.org/drawingml/2006/picture">
            <wp:extent cx="4320000" cy="2688000"/>
            <wp:docPr id="1" name="Picture 1"/>
            <wp:cNvGraphicFramePr>
              <a:graphicFrameLocks noChangeAspect="1"/>
            </wp:cNvGraphicFramePr>
            <a:graphic>
              <a:graphicData uri="http://schemas.openxmlformats.org/drawingml/2006/picture">
                <pic:pic>
                  <pic:nvPicPr>
                    <pic:cNvPr id="0" name="fig2_groups.png"/>
                    <pic:cNvPicPr/>
                  </pic:nvPicPr>
                  <pic:blipFill>
                    <a:blip r:embed="rId9"/>
                    <a:stretch>
                      <a:fillRect/>
                    </a:stretch>
                  </pic:blipFill>
                  <pic:spPr>
                    <a:xfrm>
                      <a:off x="0" y="0"/>
                      <a:ext cx="4320000" cy="2688000"/>
                    </a:xfrm>
                    <a:prstGeom prst="rect"/>
                  </pic:spPr>
                </pic:pic>
              </a:graphicData>
            </a:graphic>
          </wp:inline>
        </w:drawing>
      </w:r>
    </w:p>
    <w:p>
      <w:pPr>
        <w:spacing w:before="160"/>
      </w:pPr>
      <w:r>
        <w:rPr>
          <w:b/>
          <w:sz w:val="20"/>
        </w:rPr>
        <w:t>CONSIDERATIONS</w:t>
      </w:r>
    </w:p>
    <w:p>
      <w:r>
        <w:t>6. The survey measures spells still under way, not completed ones. The public file has no person identifiers, so margins of error for multi-month averages were widened by the most the six-month panel allows, up to 2.2 times.</w:t>
      </w:r>
    </w:p>
    <w:p>
      <w:r>
        <w:t>7. Every estimate shown meets Statistics Canada's release rules, applied to people rather than person-months: of the 2,135 estimates computed, 519 carry a marginal-quality warning and 63 were suppressed. The long-term share leaves future starts out of its denominator, so it runs about one point above the ratio implied by Statistics Canada's published table.</w:t>
      </w:r>
    </w:p>
    <w:p>
      <w:r>
        <w:t>8. Any individual risk-scoring tool used to allocate services would also need an Algorithmic Impact Assessment under the Treasury Board Directive on Automated Decision-Making. The accuracy seen here would not support one.</w:t>
      </w:r>
    </w:p>
    <w:p>
      <w:pPr>
        <w:spacing w:before="160"/>
      </w:pPr>
      <w:r>
        <w:rPr>
          <w:b/>
          <w:sz w:val="20"/>
        </w:rPr>
        <w:t>RECOMMENDATION</w:t>
      </w:r>
    </w:p>
    <w:p>
      <w:r>
        <w:t>9. Direct outreach and program capacity to the groups where long-term unemployment is both large and concentrated: prime-age workers in Ontario, established immigrants aged 25 and over, and older job seekers, who have the highest share of any age group. Degree holders' long spells deserve a closer look; the survey can show them but not explain them.</w:t>
      </w:r>
    </w:p>
    <w:p>
      <w:r>
        <w:t>10. Do not build an individual risk score from demographic survey characteristics. If profiling is pursued, test it on administrative data such as employment insurance histories, and repeat the fairness check by age before any use.</w:t>
      </w:r>
    </w:p>
    <w:p>
      <w:r>
        <w:t>11. Refresh these estimates as each monthly survey file is released; the pipeline reruns in about 20 minutes.</w:t>
      </w:r>
    </w:p>
    <w:p>
      <w:r>
        <w:rPr>
          <w:i/>
          <w:color w:val="5A5A5A"/>
          <w:sz w:val="16"/>
        </w:rPr>
        <w:t>Prepared by Ahmad Bilal Hashimi, September 2026. Independent analysis of Statistics Canada Labour Force Survey public use microdata. Not an ESDC or Statistics Canada document.</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Bilal Hashimi</dc:creator>
  <cp:keywords/>
  <dc:description>generated by python-docx</dc:description>
  <cp:lastModifiedBy/>
  <cp:revision>1</cp:revision>
  <dcterms:created xsi:type="dcterms:W3CDTF">2013-12-23T23:15:00Z</dcterms:created>
  <dcterms:modified xsi:type="dcterms:W3CDTF">2013-12-23T23:15:00Z</dcterms:modified>
  <cp:category/>
</cp:coreProperties>
</file>