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4B5377">
      <w:pPr>
        <w:bidi w:val="0"/>
      </w:pPr>
      <w:bookmarkStart w:id="0" w:name="_Toc1233945582"/>
    </w:p>
    <w:p w14:paraId="22BE4DE6">
      <w:pPr>
        <w:bidi w:val="0"/>
      </w:pPr>
    </w:p>
    <w:p w14:paraId="47B09ACA">
      <w:pPr>
        <w:bidi w:val="0"/>
      </w:pPr>
    </w:p>
    <w:p w14:paraId="02A826DC">
      <w:pPr>
        <w:bidi w:val="0"/>
      </w:pPr>
    </w:p>
    <w:p w14:paraId="6E64E28A">
      <w:pPr>
        <w:bidi w:val="0"/>
      </w:pPr>
    </w:p>
    <w:p w14:paraId="66B4E993">
      <w:pPr>
        <w:bidi w:val="0"/>
      </w:pPr>
    </w:p>
    <w:p w14:paraId="6CECE480">
      <w:pPr>
        <w:bidi w:val="0"/>
        <w:rPr>
          <w:sz w:val="44"/>
          <w:szCs w:val="48"/>
        </w:rPr>
      </w:pPr>
    </w:p>
    <w:p w14:paraId="5C2FF405">
      <w:pPr>
        <w:bidi w:val="0"/>
        <w:rPr>
          <w:sz w:val="44"/>
          <w:szCs w:val="48"/>
        </w:rPr>
      </w:pPr>
    </w:p>
    <w:p w14:paraId="7114217B">
      <w:pPr>
        <w:bidi w:val="0"/>
        <w:rPr>
          <w:sz w:val="44"/>
          <w:szCs w:val="48"/>
        </w:rPr>
      </w:pPr>
    </w:p>
    <w:p w14:paraId="4E918B22">
      <w:pPr>
        <w:bidi w:val="0"/>
        <w:rPr>
          <w:sz w:val="44"/>
          <w:szCs w:val="48"/>
        </w:rPr>
      </w:pPr>
    </w:p>
    <w:p w14:paraId="63B94C87">
      <w:pPr>
        <w:bidi w:val="0"/>
        <w:rPr>
          <w:sz w:val="44"/>
          <w:szCs w:val="48"/>
        </w:rPr>
      </w:pPr>
      <w:r>
        <w:rPr>
          <w:sz w:val="44"/>
          <w:szCs w:val="48"/>
        </w:rPr>
        <w:t>移动智能语音中台项目技术方案</w:t>
      </w:r>
      <w:bookmarkEnd w:id="0"/>
    </w:p>
    <w:p w14:paraId="3D53ACF3">
      <w:pPr>
        <w:bidi w:val="0"/>
      </w:pPr>
    </w:p>
    <w:p w14:paraId="6EE13F6A">
      <w:r>
        <w:br w:type="page"/>
      </w:r>
    </w:p>
    <w:p w14:paraId="6B621A20">
      <w:pPr>
        <w:pStyle w:val="9"/>
        <w:tabs>
          <w:tab w:val="right" w:leader="dot" w:pos="8305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_Toc862905599 </w:instrText>
      </w:r>
      <w:r>
        <w:fldChar w:fldCharType="separate"/>
      </w:r>
      <w:r>
        <w:rPr>
          <w:szCs w:val="32"/>
        </w:rPr>
        <w:t>1 前言</w:t>
      </w:r>
      <w:r>
        <w:tab/>
      </w:r>
      <w:r>
        <w:fldChar w:fldCharType="begin"/>
      </w:r>
      <w:r>
        <w:instrText xml:space="preserve"> PAGEREF _Toc862905599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AB07A7F">
      <w:pPr>
        <w:pStyle w:val="7"/>
        <w:tabs>
          <w:tab w:val="right" w:leader="dot" w:pos="8305"/>
        </w:tabs>
      </w:pPr>
      <w:r>
        <w:fldChar w:fldCharType="begin"/>
      </w:r>
      <w:r>
        <w:instrText xml:space="preserve"> HYPERLINK \l _Toc897334202 </w:instrText>
      </w:r>
      <w:r>
        <w:fldChar w:fldCharType="separate"/>
      </w:r>
      <w:r>
        <w:rPr>
          <w:szCs w:val="32"/>
        </w:rPr>
        <w:t>1.1 方案目的</w:t>
      </w:r>
      <w:r>
        <w:tab/>
      </w:r>
      <w:r>
        <w:fldChar w:fldCharType="begin"/>
      </w:r>
      <w:r>
        <w:instrText xml:space="preserve"> PAGEREF _Toc897334202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D511CB7">
      <w:pPr>
        <w:pStyle w:val="7"/>
        <w:tabs>
          <w:tab w:val="right" w:leader="dot" w:pos="8305"/>
        </w:tabs>
      </w:pPr>
      <w:r>
        <w:fldChar w:fldCharType="begin"/>
      </w:r>
      <w:r>
        <w:instrText xml:space="preserve"> HYPERLINK \l _Toc1865763780 </w:instrText>
      </w:r>
      <w:r>
        <w:fldChar w:fldCharType="separate"/>
      </w:r>
      <w:r>
        <w:rPr>
          <w:szCs w:val="32"/>
        </w:rPr>
        <w:t>1.2 适用范围</w:t>
      </w:r>
      <w:r>
        <w:tab/>
      </w:r>
      <w:r>
        <w:fldChar w:fldCharType="begin"/>
      </w:r>
      <w:r>
        <w:instrText xml:space="preserve"> PAGEREF _Toc1865763780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AFF8768">
      <w:pPr>
        <w:pStyle w:val="7"/>
        <w:tabs>
          <w:tab w:val="right" w:leader="dot" w:pos="8305"/>
        </w:tabs>
      </w:pPr>
      <w:r>
        <w:fldChar w:fldCharType="begin"/>
      </w:r>
      <w:r>
        <w:instrText xml:space="preserve"> HYPERLINK \l _Toc335636966 </w:instrText>
      </w:r>
      <w:r>
        <w:fldChar w:fldCharType="separate"/>
      </w:r>
      <w:r>
        <w:rPr>
          <w:szCs w:val="32"/>
        </w:rPr>
        <w:t>1.3 设计原则</w:t>
      </w:r>
      <w:r>
        <w:tab/>
      </w:r>
      <w:r>
        <w:fldChar w:fldCharType="begin"/>
      </w:r>
      <w:r>
        <w:instrText xml:space="preserve"> PAGEREF _Toc335636966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FF778CE">
      <w:pPr>
        <w:pStyle w:val="7"/>
        <w:tabs>
          <w:tab w:val="right" w:leader="dot" w:pos="8305"/>
        </w:tabs>
      </w:pPr>
      <w:r>
        <w:fldChar w:fldCharType="begin"/>
      </w:r>
      <w:r>
        <w:instrText xml:space="preserve"> HYPERLINK \l _Toc1758430540 </w:instrText>
      </w:r>
      <w:r>
        <w:fldChar w:fldCharType="separate"/>
      </w:r>
      <w:r>
        <w:rPr>
          <w:szCs w:val="32"/>
        </w:rPr>
        <w:t>1.4 指标、选型与资源配置</w:t>
      </w:r>
      <w:r>
        <w:tab/>
      </w:r>
      <w:r>
        <w:fldChar w:fldCharType="begin"/>
      </w:r>
      <w:r>
        <w:instrText xml:space="preserve"> PAGEREF _Toc1758430540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59C47B9">
      <w:pPr>
        <w:pStyle w:val="9"/>
        <w:tabs>
          <w:tab w:val="right" w:leader="dot" w:pos="8305"/>
        </w:tabs>
      </w:pPr>
      <w:r>
        <w:fldChar w:fldCharType="begin"/>
      </w:r>
      <w:r>
        <w:instrText xml:space="preserve"> HYPERLINK \l _Toc272135766 </w:instrText>
      </w:r>
      <w:r>
        <w:fldChar w:fldCharType="separate"/>
      </w:r>
      <w:r>
        <w:rPr>
          <w:szCs w:val="32"/>
        </w:rPr>
        <w:t>2 总体技术架构设计</w:t>
      </w:r>
      <w:r>
        <w:tab/>
      </w:r>
      <w:r>
        <w:fldChar w:fldCharType="begin"/>
      </w:r>
      <w:r>
        <w:instrText xml:space="preserve"> PAGEREF _Toc272135766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F38ADE5">
      <w:pPr>
        <w:pStyle w:val="7"/>
        <w:tabs>
          <w:tab w:val="right" w:leader="dot" w:pos="8305"/>
        </w:tabs>
      </w:pPr>
      <w:r>
        <w:fldChar w:fldCharType="begin"/>
      </w:r>
      <w:r>
        <w:instrText xml:space="preserve"> HYPERLINK \l _Toc1793134699 </w:instrText>
      </w:r>
      <w:r>
        <w:fldChar w:fldCharType="separate"/>
      </w:r>
      <w:r>
        <w:rPr>
          <w:szCs w:val="32"/>
        </w:rPr>
        <w:t>2.1 架构整体概述</w:t>
      </w:r>
      <w:r>
        <w:tab/>
      </w:r>
      <w:r>
        <w:fldChar w:fldCharType="begin"/>
      </w:r>
      <w:r>
        <w:instrText xml:space="preserve"> PAGEREF _Toc1793134699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4FBC0DB">
      <w:pPr>
        <w:pStyle w:val="7"/>
        <w:tabs>
          <w:tab w:val="right" w:leader="dot" w:pos="8305"/>
        </w:tabs>
      </w:pPr>
      <w:r>
        <w:fldChar w:fldCharType="begin"/>
      </w:r>
      <w:r>
        <w:instrText xml:space="preserve"> HYPERLINK \l _Toc1576867742 </w:instrText>
      </w:r>
      <w:r>
        <w:fldChar w:fldCharType="separate"/>
      </w:r>
      <w:r>
        <w:rPr>
          <w:szCs w:val="32"/>
        </w:rPr>
        <w:t>2.2 五层核心架构详细设计</w:t>
      </w:r>
      <w:r>
        <w:tab/>
      </w:r>
      <w:r>
        <w:fldChar w:fldCharType="begin"/>
      </w:r>
      <w:r>
        <w:instrText xml:space="preserve"> PAGEREF _Toc1576867742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1EE3B24">
      <w:pPr>
        <w:pStyle w:val="7"/>
        <w:tabs>
          <w:tab w:val="right" w:leader="dot" w:pos="8305"/>
        </w:tabs>
      </w:pPr>
      <w:r>
        <w:fldChar w:fldCharType="begin"/>
      </w:r>
      <w:r>
        <w:instrText xml:space="preserve"> HYPERLINK \l _Toc320452167 </w:instrText>
      </w:r>
      <w:r>
        <w:fldChar w:fldCharType="separate"/>
      </w:r>
      <w:r>
        <w:rPr>
          <w:szCs w:val="32"/>
        </w:rPr>
        <w:t>2.3 三大支撑体系</w:t>
      </w:r>
      <w:r>
        <w:tab/>
      </w:r>
      <w:r>
        <w:fldChar w:fldCharType="begin"/>
      </w:r>
      <w:r>
        <w:instrText xml:space="preserve"> PAGEREF _Toc320452167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90735EF">
      <w:pPr>
        <w:pStyle w:val="7"/>
        <w:tabs>
          <w:tab w:val="right" w:leader="dot" w:pos="8305"/>
        </w:tabs>
      </w:pPr>
      <w:r>
        <w:fldChar w:fldCharType="begin"/>
      </w:r>
      <w:r>
        <w:instrText xml:space="preserve"> HYPERLINK \l _Toc2098067740 </w:instrText>
      </w:r>
      <w:r>
        <w:fldChar w:fldCharType="separate"/>
      </w:r>
      <w:r>
        <w:rPr>
          <w:szCs w:val="32"/>
        </w:rPr>
        <w:t>2.4 与现有系统的技术对接设计</w:t>
      </w:r>
      <w:r>
        <w:tab/>
      </w:r>
      <w:r>
        <w:fldChar w:fldCharType="begin"/>
      </w:r>
      <w:r>
        <w:instrText xml:space="preserve"> PAGEREF _Toc2098067740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97C9042">
      <w:pPr>
        <w:pStyle w:val="9"/>
        <w:tabs>
          <w:tab w:val="right" w:leader="dot" w:pos="8305"/>
        </w:tabs>
      </w:pPr>
      <w:r>
        <w:fldChar w:fldCharType="begin"/>
      </w:r>
      <w:r>
        <w:instrText xml:space="preserve"> HYPERLINK \l _Toc543022440 </w:instrText>
      </w:r>
      <w:r>
        <w:fldChar w:fldCharType="separate"/>
      </w:r>
      <w:r>
        <w:rPr>
          <w:szCs w:val="32"/>
        </w:rPr>
        <w:t>3 核心技术模块详细设计</w:t>
      </w:r>
      <w:r>
        <w:tab/>
      </w:r>
      <w:r>
        <w:fldChar w:fldCharType="begin"/>
      </w:r>
      <w:r>
        <w:instrText xml:space="preserve"> PAGEREF _Toc543022440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06399D8">
      <w:pPr>
        <w:pStyle w:val="7"/>
        <w:tabs>
          <w:tab w:val="right" w:leader="dot" w:pos="8305"/>
        </w:tabs>
      </w:pPr>
      <w:r>
        <w:fldChar w:fldCharType="begin"/>
      </w:r>
      <w:r>
        <w:instrText xml:space="preserve"> HYPERLINK \l _Toc1920132977 </w:instrText>
      </w:r>
      <w:r>
        <w:fldChar w:fldCharType="separate"/>
      </w:r>
      <w:r>
        <w:rPr>
          <w:szCs w:val="32"/>
        </w:rPr>
        <w:t>3.1 通用 AI 能力基座详细设计</w:t>
      </w:r>
      <w:r>
        <w:tab/>
      </w:r>
      <w:r>
        <w:fldChar w:fldCharType="begin"/>
      </w:r>
      <w:r>
        <w:instrText xml:space="preserve"> PAGEREF _Toc1920132977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C4AFD87">
      <w:pPr>
        <w:pStyle w:val="7"/>
        <w:tabs>
          <w:tab w:val="right" w:leader="dot" w:pos="8305"/>
        </w:tabs>
      </w:pPr>
      <w:r>
        <w:fldChar w:fldCharType="begin"/>
      </w:r>
      <w:r>
        <w:instrText xml:space="preserve"> HYPERLINK \l _Toc1438180970 </w:instrText>
      </w:r>
      <w:r>
        <w:fldChar w:fldCharType="separate"/>
      </w:r>
      <w:r>
        <w:rPr>
          <w:szCs w:val="32"/>
        </w:rPr>
        <w:t>3.2 行业模型详细设计</w:t>
      </w:r>
      <w:r>
        <w:tab/>
      </w:r>
      <w:r>
        <w:fldChar w:fldCharType="begin"/>
      </w:r>
      <w:r>
        <w:instrText xml:space="preserve"> PAGEREF _Toc1438180970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7C46840">
      <w:pPr>
        <w:pStyle w:val="9"/>
        <w:tabs>
          <w:tab w:val="right" w:leader="dot" w:pos="8305"/>
        </w:tabs>
      </w:pPr>
      <w:r>
        <w:fldChar w:fldCharType="begin"/>
      </w:r>
      <w:r>
        <w:instrText xml:space="preserve"> HYPERLINK \l _Toc1579115805 </w:instrText>
      </w:r>
      <w:r>
        <w:fldChar w:fldCharType="separate"/>
      </w:r>
      <w:r>
        <w:rPr>
          <w:szCs w:val="32"/>
        </w:rPr>
        <w:t>4 技术选型</w:t>
      </w:r>
      <w:r>
        <w:tab/>
      </w:r>
      <w:r>
        <w:fldChar w:fldCharType="begin"/>
      </w:r>
      <w:r>
        <w:instrText xml:space="preserve"> PAGEREF _Toc1579115805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1D1B7B59">
      <w:pPr>
        <w:pStyle w:val="7"/>
        <w:tabs>
          <w:tab w:val="right" w:leader="dot" w:pos="8305"/>
        </w:tabs>
      </w:pPr>
      <w:r>
        <w:fldChar w:fldCharType="begin"/>
      </w:r>
      <w:r>
        <w:instrText xml:space="preserve"> HYPERLINK \l _Toc1596425009 </w:instrText>
      </w:r>
      <w:r>
        <w:fldChar w:fldCharType="separate"/>
      </w:r>
      <w:r>
        <w:rPr>
          <w:szCs w:val="32"/>
        </w:rPr>
        <w:t>4.1 选型原则</w:t>
      </w:r>
      <w:r>
        <w:tab/>
      </w:r>
      <w:r>
        <w:fldChar w:fldCharType="begin"/>
      </w:r>
      <w:r>
        <w:instrText xml:space="preserve"> PAGEREF _Toc1596425009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4913B006">
      <w:pPr>
        <w:pStyle w:val="7"/>
        <w:tabs>
          <w:tab w:val="right" w:leader="dot" w:pos="8305"/>
        </w:tabs>
      </w:pPr>
      <w:r>
        <w:fldChar w:fldCharType="begin"/>
      </w:r>
      <w:r>
        <w:instrText xml:space="preserve"> HYPERLINK \l _Toc454440645 </w:instrText>
      </w:r>
      <w:r>
        <w:fldChar w:fldCharType="separate"/>
      </w:r>
      <w:r>
        <w:rPr>
          <w:szCs w:val="32"/>
        </w:rPr>
        <w:t>4.2 核心选型清单（示例）</w:t>
      </w:r>
      <w:r>
        <w:tab/>
      </w:r>
      <w:r>
        <w:fldChar w:fldCharType="begin"/>
      </w:r>
      <w:r>
        <w:instrText xml:space="preserve"> PAGEREF _Toc454440645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60D7F101">
      <w:pPr>
        <w:pStyle w:val="9"/>
        <w:tabs>
          <w:tab w:val="right" w:leader="dot" w:pos="8305"/>
        </w:tabs>
      </w:pPr>
      <w:r>
        <w:fldChar w:fldCharType="begin"/>
      </w:r>
      <w:r>
        <w:instrText xml:space="preserve"> HYPERLINK \l _Toc1332071783 </w:instrText>
      </w:r>
      <w:r>
        <w:fldChar w:fldCharType="separate"/>
      </w:r>
      <w:r>
        <w:rPr>
          <w:szCs w:val="32"/>
        </w:rPr>
        <w:t>5 接口设计规范</w:t>
      </w:r>
      <w:r>
        <w:tab/>
      </w:r>
      <w:r>
        <w:fldChar w:fldCharType="begin"/>
      </w:r>
      <w:r>
        <w:instrText xml:space="preserve"> PAGEREF _Toc1332071783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122E4F25">
      <w:pPr>
        <w:pStyle w:val="7"/>
        <w:tabs>
          <w:tab w:val="right" w:leader="dot" w:pos="8305"/>
        </w:tabs>
      </w:pPr>
      <w:r>
        <w:fldChar w:fldCharType="begin"/>
      </w:r>
      <w:r>
        <w:instrText xml:space="preserve"> HYPERLINK \l _Toc613436906 </w:instrText>
      </w:r>
      <w:r>
        <w:fldChar w:fldCharType="separate"/>
      </w:r>
      <w:r>
        <w:rPr>
          <w:szCs w:val="32"/>
        </w:rPr>
        <w:t>5.1 接口设计原则</w:t>
      </w:r>
      <w:r>
        <w:tab/>
      </w:r>
      <w:r>
        <w:fldChar w:fldCharType="begin"/>
      </w:r>
      <w:r>
        <w:instrText xml:space="preserve"> PAGEREF _Toc613436906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202901F9">
      <w:pPr>
        <w:pStyle w:val="7"/>
        <w:tabs>
          <w:tab w:val="right" w:leader="dot" w:pos="8305"/>
        </w:tabs>
      </w:pPr>
      <w:r>
        <w:fldChar w:fldCharType="begin"/>
      </w:r>
      <w:r>
        <w:instrText xml:space="preserve"> HYPERLINK \l _Toc2112573542 </w:instrText>
      </w:r>
      <w:r>
        <w:fldChar w:fldCharType="separate"/>
      </w:r>
      <w:r>
        <w:rPr>
          <w:szCs w:val="32"/>
        </w:rPr>
        <w:t>5.2 接口分类</w:t>
      </w:r>
      <w:r>
        <w:tab/>
      </w:r>
      <w:r>
        <w:fldChar w:fldCharType="begin"/>
      </w:r>
      <w:r>
        <w:instrText xml:space="preserve"> PAGEREF _Toc2112573542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191C6AE4">
      <w:pPr>
        <w:pStyle w:val="7"/>
        <w:tabs>
          <w:tab w:val="right" w:leader="dot" w:pos="8305"/>
        </w:tabs>
      </w:pPr>
      <w:r>
        <w:fldChar w:fldCharType="begin"/>
      </w:r>
      <w:r>
        <w:instrText xml:space="preserve"> HYPERLINK \l _Toc1676384543 </w:instrText>
      </w:r>
      <w:r>
        <w:fldChar w:fldCharType="separate"/>
      </w:r>
      <w:r>
        <w:rPr>
          <w:szCs w:val="32"/>
        </w:rPr>
        <w:t>5.3 接口文档与日志</w:t>
      </w:r>
      <w:r>
        <w:tab/>
      </w:r>
      <w:r>
        <w:fldChar w:fldCharType="begin"/>
      </w:r>
      <w:r>
        <w:instrText xml:space="preserve"> PAGEREF _Toc1676384543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1DF5FE8C">
      <w:pPr>
        <w:pStyle w:val="9"/>
        <w:tabs>
          <w:tab w:val="right" w:leader="dot" w:pos="8305"/>
        </w:tabs>
      </w:pPr>
      <w:r>
        <w:fldChar w:fldCharType="begin"/>
      </w:r>
      <w:r>
        <w:instrText xml:space="preserve"> HYPERLINK \l _Toc9565561 </w:instrText>
      </w:r>
      <w:r>
        <w:fldChar w:fldCharType="separate"/>
      </w:r>
      <w:r>
        <w:rPr>
          <w:szCs w:val="32"/>
        </w:rPr>
        <w:t>6 安全与合规设计（审计重点）</w:t>
      </w:r>
      <w:r>
        <w:tab/>
      </w:r>
      <w:r>
        <w:fldChar w:fldCharType="begin"/>
      </w:r>
      <w:r>
        <w:instrText xml:space="preserve"> PAGEREF _Toc9565561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3C7B1841">
      <w:pPr>
        <w:pStyle w:val="7"/>
        <w:tabs>
          <w:tab w:val="right" w:leader="dot" w:pos="8305"/>
        </w:tabs>
      </w:pPr>
      <w:r>
        <w:fldChar w:fldCharType="begin"/>
      </w:r>
      <w:r>
        <w:instrText xml:space="preserve"> HYPERLINK \l _Toc1854593849 </w:instrText>
      </w:r>
      <w:r>
        <w:fldChar w:fldCharType="separate"/>
      </w:r>
      <w:r>
        <w:rPr>
          <w:szCs w:val="32"/>
        </w:rPr>
        <w:t>6.1 总体思路</w:t>
      </w:r>
      <w:r>
        <w:tab/>
      </w:r>
      <w:r>
        <w:fldChar w:fldCharType="begin"/>
      </w:r>
      <w:r>
        <w:instrText xml:space="preserve"> PAGEREF _Toc1854593849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527F1A1D">
      <w:pPr>
        <w:pStyle w:val="7"/>
        <w:tabs>
          <w:tab w:val="right" w:leader="dot" w:pos="8305"/>
        </w:tabs>
      </w:pPr>
      <w:r>
        <w:fldChar w:fldCharType="begin"/>
      </w:r>
      <w:r>
        <w:instrText xml:space="preserve"> HYPERLINK \l _Toc1581167585 </w:instrText>
      </w:r>
      <w:r>
        <w:fldChar w:fldCharType="separate"/>
      </w:r>
      <w:r>
        <w:rPr>
          <w:szCs w:val="32"/>
        </w:rPr>
        <w:t>6.2 接入安全</w:t>
      </w:r>
      <w:r>
        <w:tab/>
      </w:r>
      <w:r>
        <w:fldChar w:fldCharType="begin"/>
      </w:r>
      <w:r>
        <w:instrText xml:space="preserve"> PAGEREF _Toc1581167585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0E318984">
      <w:pPr>
        <w:pStyle w:val="7"/>
        <w:tabs>
          <w:tab w:val="right" w:leader="dot" w:pos="8305"/>
        </w:tabs>
      </w:pPr>
      <w:r>
        <w:fldChar w:fldCharType="begin"/>
      </w:r>
      <w:r>
        <w:instrText xml:space="preserve"> HYPERLINK \l _Toc1720953117 </w:instrText>
      </w:r>
      <w:r>
        <w:fldChar w:fldCharType="separate"/>
      </w:r>
      <w:r>
        <w:rPr>
          <w:szCs w:val="32"/>
        </w:rPr>
        <w:t>6.3 数据安全与合规（四大行业适配）</w:t>
      </w:r>
      <w:r>
        <w:tab/>
      </w:r>
      <w:r>
        <w:fldChar w:fldCharType="begin"/>
      </w:r>
      <w:r>
        <w:instrText xml:space="preserve"> PAGEREF _Toc1720953117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248C4747">
      <w:pPr>
        <w:pStyle w:val="7"/>
        <w:tabs>
          <w:tab w:val="right" w:leader="dot" w:pos="8305"/>
        </w:tabs>
      </w:pPr>
      <w:r>
        <w:fldChar w:fldCharType="begin"/>
      </w:r>
      <w:r>
        <w:instrText xml:space="preserve"> HYPERLINK \l _Toc1749279623 </w:instrText>
      </w:r>
      <w:r>
        <w:fldChar w:fldCharType="separate"/>
      </w:r>
      <w:r>
        <w:rPr>
          <w:szCs w:val="32"/>
        </w:rPr>
        <w:t>6.4 审计与追溯</w:t>
      </w:r>
      <w:r>
        <w:tab/>
      </w:r>
      <w:r>
        <w:fldChar w:fldCharType="begin"/>
      </w:r>
      <w:r>
        <w:instrText xml:space="preserve"> PAGEREF _Toc1749279623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78BB47B3">
      <w:pPr>
        <w:pStyle w:val="9"/>
        <w:tabs>
          <w:tab w:val="right" w:leader="dot" w:pos="8305"/>
        </w:tabs>
      </w:pPr>
      <w:r>
        <w:fldChar w:fldCharType="begin"/>
      </w:r>
      <w:r>
        <w:instrText xml:space="preserve"> HYPERLINK \l _Toc1091496331 </w:instrText>
      </w:r>
      <w:r>
        <w:fldChar w:fldCharType="separate"/>
      </w:r>
      <w:r>
        <w:rPr>
          <w:szCs w:val="32"/>
        </w:rPr>
        <w:t>7 系统详细设计及业务流程图</w:t>
      </w:r>
      <w:r>
        <w:tab/>
      </w:r>
      <w:r>
        <w:fldChar w:fldCharType="begin"/>
      </w:r>
      <w:r>
        <w:instrText xml:space="preserve"> PAGEREF _Toc1091496331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033AC6FA">
      <w:pPr>
        <w:pStyle w:val="7"/>
        <w:tabs>
          <w:tab w:val="right" w:leader="dot" w:pos="8305"/>
        </w:tabs>
      </w:pPr>
      <w:r>
        <w:fldChar w:fldCharType="begin"/>
      </w:r>
      <w:r>
        <w:instrText xml:space="preserve"> HYPERLINK \l _Toc973522443 </w:instrText>
      </w:r>
      <w:r>
        <w:fldChar w:fldCharType="separate"/>
      </w:r>
      <w:r>
        <w:rPr>
          <w:szCs w:val="32"/>
        </w:rPr>
        <w:t>7.1 系统详细设计概述</w:t>
      </w:r>
      <w:r>
        <w:tab/>
      </w:r>
      <w:r>
        <w:fldChar w:fldCharType="begin"/>
      </w:r>
      <w:r>
        <w:instrText xml:space="preserve"> PAGEREF _Toc973522443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76DDA01E">
      <w:pPr>
        <w:pStyle w:val="7"/>
        <w:tabs>
          <w:tab w:val="right" w:leader="dot" w:pos="8305"/>
        </w:tabs>
      </w:pPr>
      <w:r>
        <w:fldChar w:fldCharType="begin"/>
      </w:r>
      <w:r>
        <w:instrText xml:space="preserve"> HYPERLINK \l _Toc313793008 </w:instrText>
      </w:r>
      <w:r>
        <w:fldChar w:fldCharType="separate"/>
      </w:r>
      <w:r>
        <w:rPr>
          <w:szCs w:val="32"/>
        </w:rPr>
        <w:t>7.2 核心业务流程图（四大行业通用）</w:t>
      </w:r>
      <w:r>
        <w:tab/>
      </w:r>
      <w:r>
        <w:fldChar w:fldCharType="begin"/>
      </w:r>
      <w:r>
        <w:instrText xml:space="preserve"> PAGEREF _Toc313793008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62813E46">
      <w:pPr>
        <w:pStyle w:val="7"/>
        <w:tabs>
          <w:tab w:val="right" w:leader="dot" w:pos="8305"/>
        </w:tabs>
      </w:pPr>
      <w:r>
        <w:fldChar w:fldCharType="begin"/>
      </w:r>
      <w:r>
        <w:instrText xml:space="preserve"> HYPERLINK \l _Toc1846732071 </w:instrText>
      </w:r>
      <w:r>
        <w:fldChar w:fldCharType="separate"/>
      </w:r>
      <w:r>
        <w:rPr>
          <w:szCs w:val="32"/>
        </w:rPr>
        <w:t>7.3 流程关键节点说明</w:t>
      </w:r>
      <w:r>
        <w:tab/>
      </w:r>
      <w:r>
        <w:fldChar w:fldCharType="begin"/>
      </w:r>
      <w:r>
        <w:instrText xml:space="preserve"> PAGEREF _Toc1846732071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59085F5C">
      <w:pPr>
        <w:pStyle w:val="9"/>
        <w:tabs>
          <w:tab w:val="right" w:leader="dot" w:pos="8305"/>
        </w:tabs>
      </w:pPr>
      <w:r>
        <w:fldChar w:fldCharType="begin"/>
      </w:r>
      <w:r>
        <w:instrText xml:space="preserve"> HYPERLINK \l _Toc444767206 </w:instrText>
      </w:r>
      <w:r>
        <w:fldChar w:fldCharType="separate"/>
      </w:r>
      <w:r>
        <w:rPr>
          <w:szCs w:val="32"/>
        </w:rPr>
        <w:t>8 项目概述</w:t>
      </w:r>
      <w:r>
        <w:tab/>
      </w:r>
      <w:r>
        <w:fldChar w:fldCharType="begin"/>
      </w:r>
      <w:r>
        <w:instrText xml:space="preserve"> PAGEREF _Toc444767206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06708E48">
      <w:pPr>
        <w:pStyle w:val="7"/>
        <w:tabs>
          <w:tab w:val="right" w:leader="dot" w:pos="8305"/>
        </w:tabs>
      </w:pPr>
      <w:r>
        <w:fldChar w:fldCharType="begin"/>
      </w:r>
      <w:r>
        <w:instrText xml:space="preserve"> HYPERLINK \l _Toc1959339682 </w:instrText>
      </w:r>
      <w:r>
        <w:fldChar w:fldCharType="separate"/>
      </w:r>
      <w:r>
        <w:rPr>
          <w:szCs w:val="32"/>
        </w:rPr>
        <w:t>8.1 项目背景</w:t>
      </w:r>
      <w:r>
        <w:tab/>
      </w:r>
      <w:r>
        <w:fldChar w:fldCharType="begin"/>
      </w:r>
      <w:r>
        <w:instrText xml:space="preserve"> PAGEREF _Toc1959339682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7DE33D65">
      <w:pPr>
        <w:pStyle w:val="7"/>
        <w:tabs>
          <w:tab w:val="right" w:leader="dot" w:pos="8305"/>
        </w:tabs>
      </w:pPr>
      <w:r>
        <w:fldChar w:fldCharType="begin"/>
      </w:r>
      <w:r>
        <w:instrText xml:space="preserve"> HYPERLINK \l _Toc1107792276 </w:instrText>
      </w:r>
      <w:r>
        <w:fldChar w:fldCharType="separate"/>
      </w:r>
      <w:r>
        <w:rPr>
          <w:szCs w:val="32"/>
        </w:rPr>
        <w:t>8.2 项目目标</w:t>
      </w:r>
      <w:r>
        <w:tab/>
      </w:r>
      <w:r>
        <w:fldChar w:fldCharType="begin"/>
      </w:r>
      <w:r>
        <w:instrText xml:space="preserve"> PAGEREF _Toc1107792276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3E27D92E">
      <w:pPr>
        <w:pStyle w:val="7"/>
        <w:tabs>
          <w:tab w:val="right" w:leader="dot" w:pos="8305"/>
        </w:tabs>
      </w:pPr>
      <w:r>
        <w:fldChar w:fldCharType="begin"/>
      </w:r>
      <w:r>
        <w:instrText xml:space="preserve"> HYPERLINK \l _Toc2129046889 </w:instrText>
      </w:r>
      <w:r>
        <w:fldChar w:fldCharType="separate"/>
      </w:r>
      <w:r>
        <w:rPr>
          <w:szCs w:val="32"/>
        </w:rPr>
        <w:t>8.3 项目范围</w:t>
      </w:r>
      <w:r>
        <w:tab/>
      </w:r>
      <w:r>
        <w:fldChar w:fldCharType="begin"/>
      </w:r>
      <w:r>
        <w:instrText xml:space="preserve"> PAGEREF _Toc2129046889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16FEB9E0">
      <w:pPr>
        <w:pStyle w:val="9"/>
        <w:tabs>
          <w:tab w:val="right" w:leader="dot" w:pos="8305"/>
        </w:tabs>
      </w:pPr>
      <w:r>
        <w:fldChar w:fldCharType="begin"/>
      </w:r>
      <w:r>
        <w:instrText xml:space="preserve"> HYPERLINK \l _Toc1518537109 </w:instrText>
      </w:r>
      <w:r>
        <w:fldChar w:fldCharType="separate"/>
      </w:r>
      <w:r>
        <w:rPr>
          <w:szCs w:val="32"/>
        </w:rPr>
        <w:t>9 系统功能模块设计</w:t>
      </w:r>
      <w:r>
        <w:tab/>
      </w:r>
      <w:r>
        <w:fldChar w:fldCharType="begin"/>
      </w:r>
      <w:r>
        <w:instrText xml:space="preserve"> PAGEREF _Toc1518537109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73D770AF">
      <w:pPr>
        <w:pStyle w:val="7"/>
        <w:tabs>
          <w:tab w:val="right" w:leader="dot" w:pos="8305"/>
        </w:tabs>
      </w:pPr>
      <w:r>
        <w:fldChar w:fldCharType="begin"/>
      </w:r>
      <w:r>
        <w:instrText xml:space="preserve"> HYPERLINK \l _Toc1357530015 </w:instrText>
      </w:r>
      <w:r>
        <w:fldChar w:fldCharType="separate"/>
      </w:r>
      <w:r>
        <w:rPr>
          <w:szCs w:val="32"/>
        </w:rPr>
        <w:t>9.1 功能模块设计原则</w:t>
      </w:r>
      <w:r>
        <w:tab/>
      </w:r>
      <w:r>
        <w:fldChar w:fldCharType="begin"/>
      </w:r>
      <w:r>
        <w:instrText xml:space="preserve"> PAGEREF _Toc1357530015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079BD821">
      <w:pPr>
        <w:pStyle w:val="7"/>
        <w:tabs>
          <w:tab w:val="right" w:leader="dot" w:pos="8305"/>
        </w:tabs>
      </w:pPr>
      <w:r>
        <w:fldChar w:fldCharType="begin"/>
      </w:r>
      <w:r>
        <w:instrText xml:space="preserve"> HYPERLINK \l _Toc1140696377 </w:instrText>
      </w:r>
      <w:r>
        <w:fldChar w:fldCharType="separate"/>
      </w:r>
      <w:r>
        <w:rPr>
          <w:szCs w:val="32"/>
        </w:rPr>
        <w:t>9.2 核心基础功能模块</w:t>
      </w:r>
      <w:r>
        <w:tab/>
      </w:r>
      <w:r>
        <w:fldChar w:fldCharType="begin"/>
      </w:r>
      <w:r>
        <w:instrText xml:space="preserve"> PAGEREF _Toc1140696377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490A9349">
      <w:r>
        <w:fldChar w:fldCharType="end"/>
      </w:r>
    </w:p>
    <w:p w14:paraId="3F6E58A4">
      <w:r>
        <w:br w:type="page"/>
      </w:r>
    </w:p>
    <w:p w14:paraId="42D8BA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bookmarkStart w:id="1" w:name="_Toc673817595"/>
      <w:bookmarkStart w:id="2" w:name="_Toc862905599"/>
      <w:r>
        <w:rPr>
          <w:color w:val="1F2329"/>
          <w:sz w:val="32"/>
          <w:szCs w:val="32"/>
        </w:rPr>
        <w:t>1 前言</w:t>
      </w:r>
      <w:bookmarkEnd w:id="1"/>
      <w:bookmarkEnd w:id="2"/>
    </w:p>
    <w:p w14:paraId="62C4B8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bookmarkStart w:id="3" w:name="_Toc1171048534"/>
      <w:bookmarkStart w:id="4" w:name="_Toc897334202"/>
      <w:r>
        <w:rPr>
          <w:color w:val="1F2329"/>
          <w:sz w:val="32"/>
          <w:szCs w:val="32"/>
        </w:rPr>
        <w:t>1.1 方案目的</w:t>
      </w:r>
      <w:bookmarkEnd w:id="3"/>
      <w:bookmarkEnd w:id="4"/>
    </w:p>
    <w:p w14:paraId="28C34D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lang w:val="en-US" w:eastAsia="zh-CN" w:bidi="ar"/>
        </w:rPr>
        <w:t>本方案旨在系统阐述 “移动智能语音中台” 的技术实现路径、总体架构、核心模块能力、技术选型原则、安全合规设计、部署运维与验收口径，为项目技术评审、工程实施、质量管控及审计验收提供标准化、可落地、可追溯的技术依据，全面满足金融、电商、政务、医疗四大行业智能语音交互场景的建设需求，贴合各行业政策监管要求，助力客户实现业务智能化升级、合规化运营。</w:t>
      </w:r>
    </w:p>
    <w:p w14:paraId="53E041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bookmarkStart w:id="5" w:name="_Toc125086183"/>
      <w:bookmarkStart w:id="6" w:name="_Toc1865763780"/>
      <w:r>
        <w:rPr>
          <w:color w:val="1F2329"/>
          <w:sz w:val="32"/>
          <w:szCs w:val="32"/>
        </w:rPr>
        <w:t>1.2 适用范围</w:t>
      </w:r>
      <w:bookmarkEnd w:id="5"/>
      <w:bookmarkEnd w:id="6"/>
    </w:p>
    <w:p w14:paraId="036D3D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lang w:val="en-US" w:eastAsia="zh-CN" w:bidi="ar"/>
        </w:rPr>
        <w:t>本方案适用于本项目的技术评审、工程实施、测试验证、运维管理与审计验收全流程，覆盖系统架构、模块能力、系统集成、数据治理、模型训练、上线运营与安全合规等所有环节，供技术评审专家、实施团队、运维团队、审计机构及项目相关干系人使用，作为项目推进、质量管控与合规审计的核心依据。</w:t>
      </w:r>
    </w:p>
    <w:p w14:paraId="3EA5E7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bookmarkStart w:id="7" w:name="_Toc2084470915"/>
      <w:bookmarkStart w:id="8" w:name="_Toc335636966"/>
      <w:r>
        <w:rPr>
          <w:color w:val="1F2329"/>
          <w:sz w:val="32"/>
          <w:szCs w:val="32"/>
        </w:rPr>
        <w:t>1.3 设计原则</w:t>
      </w:r>
      <w:bookmarkEnd w:id="7"/>
      <w:bookmarkEnd w:id="8"/>
    </w:p>
    <w:p w14:paraId="1246934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中台化与服务化：采用 “统一基座 + 行业扩展” 架构，核心能力封装为标准化服务，支持跨行业、跨场景复用，降低业务接入成本，适配四大行业差异化业务需求，实现核心技术能力的统一管控与高效复用。</w:t>
      </w:r>
    </w:p>
    <w:p w14:paraId="1D84616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高可用与高并发：基于分布式架构，支持弹性扩缩容，保障系统 7×24 小时稳定运行，重点支撑大数据处理与 AI 模型训练、推理的高并发需求，适配各行业高峰期业务场景（如金融峰值交易、电商大促、政务办事高峰、医疗随访集中期）。</w:t>
      </w:r>
    </w:p>
    <w:p w14:paraId="43DC3AB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安全与合规性：严格遵循《生成式人工智能服务管理暂行办法》《个人信息保护法》《网络安全法》《数据安全法》等国家核心法规，结合四大行业专项监管政策，在数据、模型、接口与运维各环节嵌入安全管控与审计机制，确保数据安全、操作可追溯，所有合规管控动作留存完整记录，全面满足各行业合规要求。</w:t>
      </w:r>
    </w:p>
    <w:p w14:paraId="36B657F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可迭代与可扩展：支持模型持续微调、增量训练；架构采用模块化、松耦合设计，支持模块插拔、能力扩展，适配未来业务演进与政策更新需求，无需大规模重构系统即可完成功能升级。</w:t>
      </w:r>
    </w:p>
    <w:p w14:paraId="4E1C805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可审计与可追溯：数据流转、标注质检、训练迭代、模型发布、接口调用均保留完整日志，日志保存期限≥1 年，支持查询、导出与统计，满足各行业审计核查与监管追溯要求。</w:t>
      </w:r>
    </w:p>
    <w:p w14:paraId="10C169B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标准化与规范化：接口遵循 REST、gRPC、WebSocket 等行业通用标准，医疗行业额外遵循 HL7、FHIR 等医疗专用标准；数据格式统一为 UTF-8 规范；部署流程遵循 DevOps 标准化流程，所有标准落地情况留存记录，重点适配大数据与 AI 业务的标准化需求，确保系统兼容性与可维护性。</w:t>
      </w:r>
    </w:p>
    <w:p w14:paraId="53C208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bookmarkStart w:id="9" w:name="_Toc1801934894"/>
      <w:bookmarkStart w:id="10" w:name="_Toc1758430540"/>
      <w:r>
        <w:rPr>
          <w:color w:val="1F2329"/>
          <w:sz w:val="32"/>
          <w:szCs w:val="32"/>
        </w:rPr>
        <w:t>1.4 指标、选型与资源配置</w:t>
      </w:r>
      <w:bookmarkEnd w:id="9"/>
      <w:bookmarkEnd w:id="10"/>
    </w:p>
    <w:p w14:paraId="56C4D8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lang w:val="en-US" w:eastAsia="zh-CN" w:bidi="ar"/>
        </w:rPr>
        <w:t>本方案为总体技术设计文件，重点描述系统能力边界、架构原则、关键流程与合规控制。涉及基础设施规模、组件选型与指标口径，采用 “能力口径 + 条件口径” 的描述方式，确保方案的灵活性与可落地性：</w:t>
      </w:r>
    </w:p>
    <w:p w14:paraId="184C1F3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资源配置：训练与运行所需计算、存储与网络资源以资源池能力方式规划，资源池能力需满足四大行业并发需求，可根据客户实际业务规模动态调整，具体配置需经双方核对确认后落地。</w:t>
      </w:r>
    </w:p>
    <w:p w14:paraId="6F64DEE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组件选型口径：优先采用成熟、可控、可维护的行业主流组件；如客户已有同等能力组件，可在不降低目标能力与合规要求前提下替换与适配，选型需经过合规评估，留存评估报告，确保组件符合国家相关法规与各行业安全标准。</w:t>
      </w:r>
    </w:p>
    <w:p w14:paraId="3C97814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指标口径：所有指标在 “约定测试集、约定并发、约定网络与约定资源配置” 条件下评估，结合四大行业政策要求与业务场景适配指标细节，具体目标值与验收方法以双方确认的《验收指标与测试方案》为准。</w:t>
      </w:r>
    </w:p>
    <w:p w14:paraId="26A1AD6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合规口径：数据在客户可控环境内闭环处理，原则上实现 “数据不出域”；对训练与必需的落盘数据执行严格的权限控制与操作留痕，贴合各行业数据安全与隐私保护相关政策要求。</w:t>
      </w:r>
    </w:p>
    <w:p w14:paraId="4ECFFE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bookmarkStart w:id="11" w:name="_Toc1305373464"/>
      <w:bookmarkStart w:id="12" w:name="_Toc272135766"/>
      <w:r>
        <w:rPr>
          <w:color w:val="1F2329"/>
          <w:sz w:val="32"/>
          <w:szCs w:val="32"/>
        </w:rPr>
        <w:t>2 总体技术架构设计</w:t>
      </w:r>
      <w:bookmarkEnd w:id="11"/>
      <w:bookmarkEnd w:id="12"/>
    </w:p>
    <w:p w14:paraId="0B7472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bookmarkStart w:id="13" w:name="_Toc718871696"/>
      <w:bookmarkStart w:id="14" w:name="_Toc1793134699"/>
      <w:r>
        <w:rPr>
          <w:color w:val="1F2329"/>
          <w:sz w:val="32"/>
          <w:szCs w:val="32"/>
        </w:rPr>
        <w:t>2.1 架构整体概述</w:t>
      </w:r>
      <w:bookmarkEnd w:id="13"/>
      <w:bookmarkEnd w:id="14"/>
    </w:p>
    <w:p w14:paraId="742C00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lang w:val="en-US" w:eastAsia="zh-CN" w:bidi="ar"/>
        </w:rPr>
        <w:t>移动智能语音中台采用 “五层架构 + 三大支撑体系” 的整体设计，实现 “接入 — 能力 — 模型 — 数据 — 支撑” 的全链路覆盖，并通过技术、安全、运维三大支撑体系保障系统稳定性、合规性与可运维性。整体架构具备松耦合、高内聚、可扩展的特点，既深度适配金融、电商、政务、医疗四大行业的差异化业务与政策需求，也实现核心 AI 能力的统一复用与集中管控，助力客户快速落地智能语音交互场景，同时满足各行业合规审计要求。</w:t>
      </w:r>
    </w:p>
    <w:p w14:paraId="470C07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bookmarkStart w:id="15" w:name="_Toc333596650"/>
      <w:bookmarkStart w:id="16" w:name="_Toc1576867742"/>
      <w:r>
        <w:rPr>
          <w:color w:val="1F2329"/>
          <w:sz w:val="32"/>
          <w:szCs w:val="32"/>
        </w:rPr>
        <w:t>2.2 五层核心架构详细设计</w:t>
      </w:r>
      <w:bookmarkEnd w:id="15"/>
      <w:bookmarkEnd w:id="16"/>
    </w:p>
    <w:p w14:paraId="1447697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2.2.1 接入网关与服务编排层（第一层）</w:t>
      </w:r>
    </w:p>
    <w:p w14:paraId="43B068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lang w:val="en-US" w:eastAsia="zh-CN" w:bidi="ar"/>
        </w:rPr>
        <w:t>作为系统与外部业务系统、终端设备的统一入口，负责接入适配、流量管控、请求路由与业务流程编排，是接入安全的第一道防线，所有接入请求均需经过安全校验，留存完整接入日志，贴合各行业接入安全与审计要求。</w:t>
      </w:r>
    </w:p>
    <w:p w14:paraId="52AEC3B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统一接入模块：支持 REST、gRPC、WebSocket 等通用协议，医疗行业额外支持 HL7、FHIR 等医疗专用协议，为外部业务系统（如金融核心系统、电商订单系统、政务服务平台、医院 HIS/EMR 系统）快速接入提供标准接口，降低业务接入成本。</w:t>
      </w:r>
    </w:p>
    <w:p w14:paraId="5FCD258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网关管控模块：实现鉴权、权限校验、路由转发；支持 IP 白名单、多因素认证等接入安全策略，金融、医疗行业额外强化敏感操作权限管控，严格区分不同角色接入权限，契合各行业安全监管要求。</w:t>
      </w:r>
    </w:p>
    <w:p w14:paraId="5C90CAB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服务编排模块：提供流程编排能力，支持多轮对话流程与业务任务流程的灵活配置，支持对话状态保存、打断恢复、异常重试等机制，可根据四大行业业务场景（如金融挂失、电商售后、政务咨询、医疗随访）定制专属交互流程。</w:t>
      </w:r>
    </w:p>
    <w:p w14:paraId="7FA804F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接口管理模块：支持接口文档、模型版本管理、调用日志、异常监控，为故障排查与审计核查提供依据，日志留存符合各行业监管要求，确保接口调用全程可追溯。</w:t>
      </w:r>
    </w:p>
    <w:p w14:paraId="0303F64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2.2.2 通用 AI 能力基座层（第二层）</w:t>
      </w:r>
    </w:p>
    <w:p w14:paraId="393160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lang w:val="en-US" w:eastAsia="zh-CN" w:bidi="ar"/>
        </w:rPr>
        <w:t>作为系统核心底座，提供通用化、可复用的 AI 能力，深度适配大数据处理场景，实现 “一次建设、多行业复用”，为四大行业 AI 业务提供核心技术支撑，同时预留行业扩展接口，适配各行业政策与业务升级需求。</w:t>
      </w:r>
    </w:p>
    <w:p w14:paraId="42C105F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通用语音识别（ASR）模块：支持实时与离线识别，集成静音检测、降噪、回声抑制等基础能力，支持行业词典 / 热词动态加载以提升行业术语识别准确率，适配电话、手机、车载等多场景语音输入，满足四大行业多样化语音交互需求。</w:t>
      </w:r>
    </w:p>
    <w:p w14:paraId="2D78640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通用语义理解（NLU）模块：实现意图识别、关键信息抽取、上下文理解，支持多轮对话上下文管理与拒识提示机制，可精准识别用户模糊表述，自动关联历史对话信息，输出贴合用户需求的响应，适配各行业复杂交互场景。</w:t>
      </w:r>
    </w:p>
    <w:p w14:paraId="13F4A4D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对话管理（DM）模块：支持对话状态追踪与策略决策，提供澄清、确认、结束等对话逻辑，支持异常恢复与上下文继承，保障复杂交互场景下的对话连贯性与语义一致性，可根据各行业业务规则定制对话策略。</w:t>
      </w:r>
    </w:p>
    <w:p w14:paraId="07C61DB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知识检索与 RAG 引擎模块：支持多格式文档解析、切分、标准化，支持混合检索，支持引用溯源与版本管理，提升回答一致性与可追溯性；可自动解析 Word、PDF、Excel 等多格式文档，完成知识切分与标准化处理，无需人工手动录入，适配各行业知识库管理需求。</w:t>
      </w:r>
    </w:p>
    <w:p w14:paraId="31AED3D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配置与策略中心：集中管理系统配置、模型参数、对话策略等，支持动态生效与变更日志，可根据各行业政策更新、业务需求变化，灵活调整系统配置与策略，无需重启系统即可生效。</w:t>
      </w:r>
    </w:p>
    <w:p w14:paraId="6FF8547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2.2.3 行业模型与业务增强层（第三层）</w:t>
      </w:r>
    </w:p>
    <w:p w14:paraId="64969D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lang w:val="en-US" w:eastAsia="zh-CN" w:bidi="ar"/>
        </w:rPr>
        <w:t>基于通用 AI 能力基座，结合金融、电商、政务、医疗四大行业的业务特点与政策要求，构建行业专属增强能力，确保行业可用性、准确性与合规性，实现 “通用能力 + 行业特色” 的深度融合。</w:t>
      </w:r>
    </w:p>
    <w:p w14:paraId="77E3632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行业模型适配模块：面向四大行业，结合各行业政策要求与业务场景，形成行业增强的语音与语义能力，重点优化行业术语识别、核心意图理解等能力，确保模型适配行业实际需求。</w:t>
      </w:r>
    </w:p>
    <w:p w14:paraId="15CB70B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行业业务规则模块：沉淀各行业规则与合规策略（如敏感信息识别、口径统一等），合规策略严格贴合行业监管政策，策略更新需留存完整记录，确保合规策略的时效性与可追溯性，满足各行业合规管控要求。</w:t>
      </w:r>
    </w:p>
    <w:p w14:paraId="6BAB521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业务接口适配模块：对接各行业业务系统，实现查询、回写、状态同步等功能，支撑业务闭环；接口对接采用加密传输，数据交互留存完整日志，确保业务数据可追溯，同时支持接口版本兼容与演进，适配各行业业务系统升级需求。</w:t>
      </w:r>
    </w:p>
    <w:p w14:paraId="228FB02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2.2.4 数据治理与 AI 训练层（第四层）</w:t>
      </w:r>
    </w:p>
    <w:p w14:paraId="368F62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lang w:val="en-US" w:eastAsia="zh-CN" w:bidi="ar"/>
        </w:rPr>
        <w:t>负责数据治理、标注质检、模型训练与生命周期管理，形成 “数据 — 标注 — 训练 — 评估 — 迭代” 的完整闭环，本层所有操作均需留存完整日志，确保大数据处理、AI 模型训练全流程可追溯，重点支撑 AI 业务的迭代优化与大数据的合规管控，贴合各行业数据治理与模型监管政策。</w:t>
      </w:r>
    </w:p>
    <w:p w14:paraId="6704985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多源数据接入模块：支持接口、数据库等多种接入方式，提供格式校验与异常过滤，建立数据接入清单列表，可接入各行业业务数据（如金融交易数据、电商订单数据、政务办事数据、医疗随访数据），确保接入数据的准确性、完整性与安全性。</w:t>
      </w:r>
    </w:p>
    <w:p w14:paraId="5AD382C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数据治理模块：实现数据标准化、脱敏与质量控制；建立数据血缘与使用记录，实现数据全流程可追溯（数据血缘即清晰记录数据的来源、处理过程及去向），脱敏策略贴合各行业隐私保护政策，确保敏感数据（如金融账户信息、患者隐私信息、政务个人信息）安全可控。</w:t>
      </w:r>
    </w:p>
    <w:p w14:paraId="328493C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智能标注平台：支持语音转写校对、意图标注等，采用 “机器标注 + 人工辅助” 的方式提升标注效率，建立多级质检机制并留存操作日志，质检记录留存归档，标注准确率需满足模型训练要求，同时严格管控标注过程，防止数据泄露，契合各行业数据安全政策。</w:t>
      </w:r>
    </w:p>
    <w:p w14:paraId="0BA8B35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训练平台能力：以资源池方式提供高性能训练能力，重点支撑大规模 AI 模型训练与大数据语料处理，支持任务调度、训练过程记录、版本管理、发布联动等功能，训练过程全程留痕，可追溯模型训练的每一个环节，满足各行业模型监管要求。</w:t>
      </w:r>
    </w:p>
    <w:p w14:paraId="72A1260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模型生命周期管理：实现模型版本管理功能；模型迭代记录留存完整，迭代记录包含迭代原因、迭代内容，确保模型迭代合规、可追溯，适配各行业模型监管与业务升级需求。【调整：移除模型回滚功能相关表述】</w:t>
      </w:r>
    </w:p>
    <w:p w14:paraId="20F60E9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2.2.5 运行支撑与安全审计层（第五层）</w:t>
      </w:r>
    </w:p>
    <w:p w14:paraId="64C832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lang w:val="en-US" w:eastAsia="zh-CN" w:bidi="ar"/>
        </w:rPr>
        <w:t>保障系统稳定运行、安全合规与可审计可追溯，覆盖系统运行全流程，严格遵循各行业安全合规政策，为四大行业业务稳定开展提供支撑。</w:t>
      </w:r>
    </w:p>
    <w:p w14:paraId="1DAF6BE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部署与编排：支持弹性扩缩容及故障自愈，做好版本管理与安全校验，留存相关操作日志，保障大数据与 AI 业务稳定运行，适配各行业业务连续性要求。【调整：删除重复的部署与编排描述】</w:t>
      </w:r>
    </w:p>
    <w:p w14:paraId="6927B5F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监控与告警：覆盖系统性能、接口调用、模型效果、数据流转等所有维度，告警支持多渠道通知（如短信、邮件、平台消息），监控日志留存完整，可及时发现并处置系统异常，保障业务正常开展，满足各行业运维监管要求。</w:t>
      </w:r>
    </w:p>
    <w:p w14:paraId="32CBBD0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安全管控：采用 TLS/SSL 传输加密、AES-256 存储加密、MD5 密码存储校验，实行最小权限、角色隔离与多因素认证，定期开展安全检查及漏洞处置并留存报告，密钥需定期更换，全面满足各行业数据安全与系统安全政策要求。</w:t>
      </w:r>
    </w:p>
    <w:p w14:paraId="15D0E16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审计与追溯：登录、接口调用、数据治理、标注、训练、模型发布等关键操作日志留存完整，支持查询、导出与统计，形成完整的审计证据链，满足各行业审计核查与监管追溯要求。</w:t>
      </w:r>
    </w:p>
    <w:p w14:paraId="25A9F1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bookmarkStart w:id="17" w:name="_Toc1826577880"/>
      <w:bookmarkStart w:id="18" w:name="_Toc320452167"/>
      <w:r>
        <w:rPr>
          <w:color w:val="1F2329"/>
          <w:sz w:val="32"/>
          <w:szCs w:val="32"/>
        </w:rPr>
        <w:t>2.3 三大支撑体系</w:t>
      </w:r>
      <w:bookmarkEnd w:id="17"/>
      <w:bookmarkEnd w:id="18"/>
    </w:p>
    <w:p w14:paraId="17331DB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技术支撑体系：包含技术规范、接口规范、数据标准、文档管理与技术支持机制，其中技术规范贴合各行业标准与合规政策要求，文档管理留存完整版本记录，技术支持留存服务日志，为项目实施、运维与审计提供技术支撑。</w:t>
      </w:r>
    </w:p>
    <w:p w14:paraId="5EEF85D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安全支撑体系：建立完善的安全制度、技术规范、应急预案与定期风险评估机制，结合四大行业安全政策要求，针对性制定安全管控措施，定期开展安全风险评估，留存评估报告，及时处置安全隐患，保障系统与数据安全。</w:t>
      </w:r>
    </w:p>
    <w:p w14:paraId="796AF60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运维支撑体系：包含运维制度、故障处置流程、备份恢复机制与运维日志留存，故障处置需遵循标准化流程并留存处置记录，备份恢复需定期测试并留存测试记录，运维操作全程留痕，确保系统运维合规、高效，满足各行业运维监管要求。</w:t>
      </w:r>
    </w:p>
    <w:p w14:paraId="658555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bookmarkStart w:id="19" w:name="_Toc1015695295"/>
      <w:bookmarkStart w:id="20" w:name="_Toc2098067740"/>
      <w:r>
        <w:rPr>
          <w:color w:val="1F2329"/>
          <w:sz w:val="32"/>
          <w:szCs w:val="32"/>
        </w:rPr>
        <w:t>2.4 与现有系统的技术对接设计</w:t>
      </w:r>
      <w:bookmarkEnd w:id="19"/>
      <w:bookmarkEnd w:id="20"/>
    </w:p>
    <w:p w14:paraId="3CFA534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2.4.1 与存量智能随访系统对接（医疗行业专属）</w:t>
      </w:r>
    </w:p>
    <w:p w14:paraId="14476C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lang w:val="en-US" w:eastAsia="zh-CN" w:bidi="ar"/>
        </w:rPr>
        <w:t>采用 “拆解 — 复用 — 集成” 思路，将存量智能随访系统拆解为原子服务（任务调度、模板管理、流程引擎、回调接口等），通过标准化接口接入服务编排层，严格遵循 HL7、FHIR 等医疗接口标准，在不影响存量业务的前提下完成能力纳管，实现统一管控与复用，同时留存对接日志，确保对接过程可追溯，贴合《关于开展改善就医感受提升患者体验主题活动的通知》等医疗行业政策要求。</w:t>
      </w:r>
    </w:p>
    <w:p w14:paraId="1FCE3A2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2.4.2 与外部行业业务系统对接（四大行业通用）</w:t>
      </w:r>
    </w:p>
    <w:p w14:paraId="4A111E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lang w:val="en-US" w:eastAsia="zh-CN" w:bidi="ar"/>
        </w:rPr>
        <w:t>通过中台标准化 API 与各行业外部业务系统对接，实现会话初始化、业务数据查询、交互结果回写、状态同步等功能；对接过程中采用加密传输、鉴权与权限校验，支持接口版本兼容与演进，留存完整对接日志，确保对接合规、可追溯。具体对接适配：金融行业对接核心交易系统、客户管理系统；电商行业对接订单系统、物流系统、售后系统；政务行业对接政务服务平台、办事大厅系统；医疗行业对接 HIS、EMR、LIS 等医院核心系统，均贴合各行业系统对接相关政策与规范。</w:t>
      </w:r>
    </w:p>
    <w:p w14:paraId="0FFD7D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bookmarkStart w:id="21" w:name="_Toc443313062"/>
      <w:bookmarkStart w:id="22" w:name="_Toc543022440"/>
      <w:r>
        <w:rPr>
          <w:color w:val="1F2329"/>
          <w:sz w:val="32"/>
          <w:szCs w:val="32"/>
        </w:rPr>
        <w:t>3 核心技术模块详细设计</w:t>
      </w:r>
      <w:bookmarkEnd w:id="21"/>
      <w:bookmarkEnd w:id="22"/>
    </w:p>
    <w:p w14:paraId="405CF0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bookmarkStart w:id="23" w:name="_Toc1141861591"/>
      <w:bookmarkStart w:id="24" w:name="_Toc1920132977"/>
      <w:r>
        <w:rPr>
          <w:color w:val="1F2329"/>
          <w:sz w:val="32"/>
          <w:szCs w:val="32"/>
        </w:rPr>
        <w:t>3.1 通用 AI 能力基座详细设计</w:t>
      </w:r>
      <w:bookmarkEnd w:id="23"/>
      <w:bookmarkEnd w:id="24"/>
    </w:p>
    <w:p w14:paraId="48ABF15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3.1.1 通用 ASR 模块</w:t>
      </w:r>
    </w:p>
    <w:p w14:paraId="1C260A7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支持实时识别与离线识别，支持行业热词 / 词典配置与动态更新，可根据四大行业需求加载专属行业词典；可实现实时语音转写、离线语音文件解析，适配电话、手机、车载等多场景语音输入，转写结果可实时回显并支持手动校正，满足金融客服、电商售后、政务咨询、医疗随访等四大行业多样化语音交互需求。</w:t>
      </w:r>
    </w:p>
    <w:p w14:paraId="3204E1E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对低置信度结果支持触发 “提示 / 确认 / 人工校验” 等策略，确保识别准确性；同时支持语音片段截取、转写日志留存，便于后续审计核查与问题追溯，提升语音识别的准确性与合规性，贴合各行业审计与监管要求。</w:t>
      </w:r>
    </w:p>
    <w:p w14:paraId="1D07A51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3.1.2 通用 NLU 与对话管理</w:t>
      </w:r>
    </w:p>
    <w:p w14:paraId="6E67450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基于上下文感知与指代消解技术，构建多轮对话状态追踪引擎，支持对话上下文精准关联、指代关系智能解析及对话状态跨轮继承，保障复杂交互场景下的对话连贯性与语义一致性，适配四大行业通用交互需求；可精准识别用户模糊表述，自动关联历史对话信息与行业业务数据，输出贴合用户需求的响应。</w:t>
      </w:r>
    </w:p>
    <w:p w14:paraId="51C06B6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采用可扩展意图体系架构，支持意图的灵活扩展与自定义配置，内置智能拒识与多轮澄清机制，可自适应识别模糊意图、异常话术及无效请求，有效降低交互冗余，提升语义理解的精准度与鲁棒性；支持意图批量导入、编辑与生效，适配四大行业业务快速迭代需求，可根据行业政策变化快速新增或调整相关意图。</w:t>
      </w:r>
    </w:p>
    <w:p w14:paraId="3C502FB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融合语义理解与动作决策引擎，输出标准化 “意图 + 关键信息 + 下一步动作建议” 结构化结果，实现与服务编排层的无缝对接、灵活调用；可联动各行业业务接口，自动触发对应业务操作（如金融挂失、电商退款、政务办事指引、医疗随访记录），支撑业务流程闭环，提升交互效率，贴合各行业业务流程规范。</w:t>
      </w:r>
    </w:p>
    <w:p w14:paraId="1D4FD42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3.1.3 知识检索与 RAG 引擎</w:t>
      </w:r>
    </w:p>
    <w:p w14:paraId="5BA79A97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融合大数据分布式处理与 AI 智能解析技术，支持多格式知识（文档、语料、结构化数据等）高效入库，结合精细化版本管理与分级权限隔离机制，实现海量知识的安全管控与有序管理，适配大数据场景下的知识规模化存储需求；可自动解析 Word、PDF、Excel 等多格式文档，完成知识切分与标准化处理，无需人工手动录入，适配四大行业知识库管理需求（如金融政策知识库、电商售后知识库、政务办事指南知识库、医疗康复知识库）。</w:t>
      </w:r>
    </w:p>
    <w:p w14:paraId="7E3E0AB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搭载 AI 增量学习与智能检索算法，支持知识增量更新与实时同步，无需全量重建知识库，依托大数据语料分析与向量检索技术，精准匹配检索需求，大幅提升知识召回效率与准确性，彰显 AI 与大数据融合的核心技术优势；支持关键词检索、语义检索双模式，检索结果可显示引用来源与置信度，确保回答可追溯、可核查，贴合各行业合规与准确性要求。</w:t>
      </w:r>
    </w:p>
    <w:p w14:paraId="569840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bookmarkStart w:id="25" w:name="_Toc1353890345"/>
      <w:bookmarkStart w:id="26" w:name="_Toc1438180970"/>
      <w:r>
        <w:rPr>
          <w:color w:val="1F2329"/>
          <w:sz w:val="32"/>
          <w:szCs w:val="32"/>
        </w:rPr>
        <w:t>3.2 行业模型详细设计</w:t>
      </w:r>
      <w:bookmarkEnd w:id="25"/>
      <w:bookmarkEnd w:id="26"/>
    </w:p>
    <w:p w14:paraId="13E467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lang w:val="en-US" w:eastAsia="zh-CN" w:bidi="ar"/>
        </w:rPr>
        <w:t>行业模型在通用 AI 能力基座上，通过行业词表、行业语料与行业知识进行增强，结合各行业政策要求与业务场景，优化模型能力，以达到在行业场景下 “可用、好用、可审计、可合规” 的目标。行业模型效果以双方确认的《验收指标与测试方案》为准，所有模型相关操作均留存完整日志，满足各行业监管与审计要求。</w:t>
      </w:r>
    </w:p>
    <w:p w14:paraId="3A05083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3.2.1 金融行业模型（贴合最新监管政策）</w:t>
      </w:r>
    </w:p>
    <w:p w14:paraId="1108A03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语音识别增强：严格贴合《银行业金融机构信息科技风险管理指引》《金融数据安全 数据安全分级指南》等政策要求，强化金融术语、金额 / 账号等关键信息识别增强；优化电话信道适配与噪声抗干扰能力，适配金融客服、电话银行等场景；可精准识别银行卡号、身份证号、交易金额等敏感信息，识别后自动触发脱敏处理，确保敏感信息不泄露，完全符合金融行业数据安全合规要求。</w:t>
      </w:r>
    </w:p>
    <w:p w14:paraId="721F1CF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语义理解增强：聚焦账单查询、还款提醒、挂失、交易核实、投诉等金融核心意图，贴合《个人金融信息保护暂行办法》要求，强化关键信息抽取与校验；实现敏感信息识别与脱敏策略联动，杜绝敏感信息违规输出；可自动关联用户金融账户信息，完成账单查询、还款提醒等业务操作，输出标准化合规响应话术，确保业务操作合规、可追溯。</w:t>
      </w:r>
    </w:p>
    <w:p w14:paraId="30F7212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知识增强：构建包含金融业务流程、产品说明、合规话术、监管政策（如《商业银行服务价格管理办法》《个人贷款管理暂行办法》）等内容的专属知识库，确保回答口径一致且可追溯；支持金融政策、产品信息的快速更新，同步至对话响应中，保障信息时效性与准确性，契合金融行业政策动态更新需求。【调整：删除重复的 “同步” 表述】</w:t>
      </w:r>
    </w:p>
    <w:p w14:paraId="65BB814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3.2.2 电商行业模型（贴合最新监管政策）</w:t>
      </w:r>
    </w:p>
    <w:p w14:paraId="5444988A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语音识别增强：贴合《电子商务法》《网络交易监督管理办法》等政策要求，强化商品名、品牌、SKU、订单号、活动规则相关话术识别增强；优化口语化表达适配，可精准识别方言口语、网络流行语，适配电商客服、直播带货等场景的多样化语音输入，提升识别准确率，确保用户交互顺畅，同时留存语音识别日志，满足监管追溯要求。</w:t>
      </w:r>
    </w:p>
    <w:p w14:paraId="3C83732F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语义理解增强：聚焦订单咨询、物流查询、售后服务、退换货、发票等电商核心意图，贴合《消费者权益保护法》要求，强化订单号 / 物流单号等关键信息抽取；可自动关联电商订单系统、物流系统，查询订单状态、物流轨迹，同步反馈给用户，支撑售后闭环，确保售后服务合规、高效，保障消费者权益。</w:t>
      </w:r>
    </w:p>
    <w:p w14:paraId="2097566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知识增强：构建包含售后政策、活动规则、物流说明、消费者权益保护相关条款等内容的专属知识库，快速更新以保证时效性；可实时同步平台促销活动、售后政策，自动生成贴合活动场景的响应话术，提升用户交互体验，同时确保回答内容符合《电子商务法》《网络交易监督管理办法》等政策要求，避免违规表述。</w:t>
      </w:r>
    </w:p>
    <w:p w14:paraId="41A16E1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3.2.3 政务行业模型（贴合最新监管政策）</w:t>
      </w:r>
    </w:p>
    <w:p w14:paraId="447B0748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语音识别增强：严格遵循《国务院关于进一步优化政务服务提升行政效能推动 “高效办成一件事” 的指导意见》《政务服务标准化规范化便利化发展规划》等政策要求，强化办事事项名称、部门名称、政策条款等政务专用术语识别增强；可精准识别政务专用术语、生僻办事名称，适配政务咨询、智能帮办等场景的专业需求，减少识别误差，提升政务服务效率。</w:t>
      </w:r>
    </w:p>
    <w:p w14:paraId="489B4975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语义理解增强：聚焦办事指南、材料清单、进度查询、投诉建议、政策咨询等政务核心意图，贴合政务服务标准化要求，强化信息要素抽取与规范化；可自动抽取用户咨询的办事事项、个人信息等关键要素，关联政务服务平台，查询办事进度、材料清单，输出标准化指引，助力 “高效办成一件事”，提升政务服务便捷度与群众获得感。</w:t>
      </w:r>
    </w:p>
    <w:p w14:paraId="7804432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知识增强：构建包含政务政策、办事指南、部门职能、办事流程等内容的专属知识库，确保回答口径统一与可追溯引用，避免回答漂移；可同步更新最新政务政策、办事流程（如 “一网通办” 相关要求），确保回答与官方口径一致，支持政策原文引用，提升政务服务权威性，完全贴合政务服务标准化、规范化、便利化政策要求。</w:t>
      </w:r>
    </w:p>
    <w:p w14:paraId="79B219C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3.2.4 医疗行业模型（贴合最新监管政策）</w:t>
      </w:r>
    </w:p>
    <w:p w14:paraId="119D9898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语音识别增强：严格遵循《“十四五” 卫生健康信息化发展规划》《“健康中国 2030” 规划纲要》《关于促进和规范 “人工智能 + 医疗卫生” 应用发展的实施意见》等政策要求，强化疾病、药品、检查项目、剂量频次等医学术语识别增强；可精准识别医学专用术语、处方用语，适配随访、分诊、医生口述等医疗场景，支持医生口述病历、患者咨询等多场景语音输入，同时留存语音转写日志，满足医疗审计与追溯要求。</w:t>
      </w:r>
    </w:p>
    <w:p w14:paraId="0F452B5F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语义理解增强：聚焦随访回访、慢病管理、分诊问询、报告解读等医疗核心意图，贴合《关于开展改善就医感受提升患者体验主题活动的通知》要求，强化症状、时长、用药、检查结果等关键信息抽取；可自动关联医疗系统（HIS、EMR），查询患者病历、检查报告，完成慢病随访记录、分诊引导等操作，支撑诊后全流程智能服务，推动医疗服务从 “院内单点” 向 “院外全程” 跃升，保障医疗服务连续性与专业性。</w:t>
      </w:r>
    </w:p>
    <w:p w14:paraId="1DC2689C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安全输出控制：贴合《医疗数据安全指南》《个人信息保护法》等政策要求，对禁忌用药、高危诊疗建议等高风险内容触发提示、改写或人工兜底策略；所有操作过程留痕可审计，针对高风险医疗建议自动触发人工审核流程，留存审核记录，保障医疗建议的安全性与合规性，杜绝违规医疗指导，保护患者健康权益。</w:t>
      </w:r>
    </w:p>
    <w:p w14:paraId="33DA62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bookmarkStart w:id="27" w:name="_Toc98304803"/>
      <w:bookmarkStart w:id="28" w:name="_Toc1579115805"/>
      <w:r>
        <w:rPr>
          <w:color w:val="1F2329"/>
          <w:sz w:val="32"/>
          <w:szCs w:val="32"/>
        </w:rPr>
        <w:t>4 技术选型</w:t>
      </w:r>
      <w:bookmarkEnd w:id="27"/>
      <w:bookmarkEnd w:id="28"/>
    </w:p>
    <w:p w14:paraId="3B4FDA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bookmarkStart w:id="29" w:name="_Toc793899478"/>
      <w:bookmarkStart w:id="30" w:name="_Toc1596425009"/>
      <w:r>
        <w:rPr>
          <w:color w:val="1F2329"/>
          <w:sz w:val="32"/>
          <w:szCs w:val="32"/>
        </w:rPr>
        <w:t>4.1 选型原则</w:t>
      </w:r>
      <w:bookmarkEnd w:id="29"/>
      <w:bookmarkEnd w:id="30"/>
    </w:p>
    <w:p w14:paraId="714FBC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lang w:val="en-US" w:eastAsia="zh-CN" w:bidi="ar"/>
        </w:rPr>
        <w:t>遵循 “成熟稳定、可控可维护、可扩展、合规安全” 的核心原则，兼顾四大行业政策要求与业务需求：优先复用客户既有同等能力组件；如需新增组件，选择行业主流、具备可替代性且通过合规评估的产品，留存评估报告，确保组件符合国家相关法规与各行业安全标准（如金融行业数据安全标准、医疗行业隐私保护标准）；同时兼顾系统性能与运维便捷性，确保选型方案可落地、可运维、可合规。【调整：删除 “降低建设成本与实施风险” 表述，贴合无成本分析要求】</w:t>
      </w:r>
    </w:p>
    <w:p w14:paraId="58C4EF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bookmarkStart w:id="31" w:name="_Toc752627935"/>
      <w:bookmarkStart w:id="32" w:name="_Toc454440645"/>
      <w:r>
        <w:rPr>
          <w:color w:val="1F2329"/>
          <w:sz w:val="32"/>
          <w:szCs w:val="32"/>
        </w:rPr>
        <w:t>4.2 核心选型清单（示例）</w:t>
      </w:r>
      <w:bookmarkEnd w:id="31"/>
      <w:bookmarkEnd w:id="32"/>
    </w:p>
    <w:tbl>
      <w:tblPr>
        <w:tblStyle w:val="10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92"/>
        <w:gridCol w:w="3100"/>
        <w:gridCol w:w="4373"/>
      </w:tblGrid>
      <w:tr w14:paraId="264E8BD2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121C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b/>
                <w:bCs/>
                <w:color w:val="1F2329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32"/>
                <w:szCs w:val="32"/>
                <w:lang w:val="en-US" w:eastAsia="zh-CN" w:bidi="ar"/>
              </w:rPr>
              <w:t>技术领域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8DC5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b/>
                <w:bCs/>
                <w:color w:val="1F2329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32"/>
                <w:szCs w:val="32"/>
                <w:lang w:val="en-US" w:eastAsia="zh-CN" w:bidi="ar"/>
              </w:rPr>
              <w:t>推荐方案（示例）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8058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b/>
                <w:bCs/>
                <w:color w:val="1F2329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32"/>
                <w:szCs w:val="32"/>
                <w:lang w:val="en-US" w:eastAsia="zh-CN" w:bidi="ar"/>
              </w:rPr>
              <w:t>说明（贴合四大行业政策与需求）</w:t>
            </w:r>
          </w:p>
        </w:tc>
      </w:tr>
      <w:tr w14:paraId="46E7D86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89D6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32"/>
                <w:szCs w:val="32"/>
                <w:lang w:val="en-US" w:eastAsia="zh-CN" w:bidi="ar"/>
              </w:rPr>
              <w:t>网关与接入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7B4F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32"/>
                <w:szCs w:val="32"/>
                <w:lang w:val="en-US" w:eastAsia="zh-CN" w:bidi="ar"/>
              </w:rPr>
              <w:t>Nginx、Kong（或同等能力）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20A8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32"/>
                <w:szCs w:val="32"/>
                <w:lang w:val="en-US" w:eastAsia="zh-CN" w:bidi="ar"/>
              </w:rPr>
              <w:t>鉴权、限流、熔断、路由、观测；支持多因素鉴权、IP 白名单，接口调用日志留存，满足四大行业接入安全与审计需求；医疗行业额外支持 HL7、FHIR 协议适配，金融行业强化敏感接口管控。</w:t>
            </w:r>
          </w:p>
        </w:tc>
      </w:tr>
      <w:tr w14:paraId="587153A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ACC2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32"/>
                <w:szCs w:val="32"/>
                <w:lang w:val="en-US" w:eastAsia="zh-CN" w:bidi="ar"/>
              </w:rPr>
              <w:t>存储（结构化）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F90A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32"/>
                <w:szCs w:val="32"/>
                <w:lang w:val="en-US" w:eastAsia="zh-CN" w:bidi="ar"/>
              </w:rPr>
              <w:t>MySQL/PostgreSQL（或同等能力）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D2E2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32"/>
                <w:szCs w:val="32"/>
                <w:lang w:val="en-US" w:eastAsia="zh-CN" w:bidi="ar"/>
              </w:rPr>
              <w:t>存储元数据、配置、审计索引等；支持主从备份、AES-256 加密存储，操作日志留存，满足四大行业数据安全与审计需求；医疗行业支持医疗数据脱敏存储，金融行业符合金融数据分级存储要求。</w:t>
            </w:r>
          </w:p>
        </w:tc>
      </w:tr>
      <w:tr w14:paraId="77EA524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6100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32"/>
                <w:szCs w:val="32"/>
                <w:lang w:val="en-US" w:eastAsia="zh-CN" w:bidi="ar"/>
              </w:rPr>
              <w:t>缓存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ADC4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32"/>
                <w:szCs w:val="32"/>
                <w:lang w:val="en-US" w:eastAsia="zh-CN" w:bidi="ar"/>
              </w:rPr>
              <w:t>Redis（或同等能力）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F3A5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32"/>
                <w:szCs w:val="32"/>
                <w:lang w:val="en-US" w:eastAsia="zh-CN" w:bidi="ar"/>
              </w:rPr>
              <w:t>缓存会话与热点数据；支持缓存加密，缓存操作日志留存，确保数据安全；适配四大行业高峰期并发需求，提升交互响应速度，如金融交易缓存、医疗随访热点数据缓存。</w:t>
            </w:r>
          </w:p>
        </w:tc>
      </w:tr>
      <w:tr w14:paraId="2578568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40BE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32"/>
                <w:szCs w:val="32"/>
                <w:lang w:val="en-US" w:eastAsia="zh-CN" w:bidi="ar"/>
              </w:rPr>
              <w:t>安全加密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8F78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32"/>
                <w:szCs w:val="32"/>
                <w:lang w:val="en-US" w:eastAsia="zh-CN" w:bidi="ar"/>
              </w:rPr>
              <w:t>TLS/SSL、AES-256（或等效）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76F1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32"/>
                <w:szCs w:val="32"/>
                <w:lang w:val="en-US" w:eastAsia="zh-CN" w:bidi="ar"/>
              </w:rPr>
              <w:t>实现传输与存储加密、密钥管理；支持密钥定期更换，密钥管理日志留存，确保加密安全可追溯；完全符合《个人信息保护法》《数据安全法》及四大行业专项安全政策，保护敏感数据安全。</w:t>
            </w:r>
          </w:p>
        </w:tc>
      </w:tr>
      <w:tr w14:paraId="7F6A593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0CB0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32"/>
                <w:szCs w:val="32"/>
                <w:lang w:val="en-US" w:eastAsia="zh-CN" w:bidi="ar"/>
              </w:rPr>
              <w:t>医疗接口适配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8441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32"/>
                <w:szCs w:val="32"/>
                <w:lang w:val="en-US" w:eastAsia="zh-CN" w:bidi="ar"/>
              </w:rPr>
              <w:t>HAPI FHIR、HL7 协议适配器（或同等能力）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E41E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32"/>
                <w:szCs w:val="32"/>
                <w:lang w:val="en-US" w:eastAsia="zh-CN" w:bidi="ar"/>
              </w:rPr>
              <w:t>贴合医疗行业政策要求，实现与医院 HIS、EMR 等系统的标准化对接，支持医疗数据结构化交互，留存接口对接日志，满足医院信息化互联互通与合规审计要求。</w:t>
            </w:r>
          </w:p>
        </w:tc>
      </w:tr>
      <w:tr w14:paraId="72CDCDB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8387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32"/>
                <w:szCs w:val="32"/>
                <w:lang w:val="en-US" w:eastAsia="zh-CN" w:bidi="ar"/>
              </w:rPr>
              <w:t>AI 模型训练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7B34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32"/>
                <w:szCs w:val="32"/>
                <w:lang w:val="en-US" w:eastAsia="zh-CN" w:bidi="ar"/>
              </w:rPr>
              <w:t>TensorFlow/PyTorch（或同等能力）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2989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32"/>
                <w:szCs w:val="32"/>
                <w:lang w:val="en-US" w:eastAsia="zh-CN" w:bidi="ar"/>
              </w:rPr>
              <w:t>支持大规模 AI 模型训练与增量微调，训练过程全程留痕，支持版本管理，满足四大行业模型监管要求，可适配各行业模型优化与升级需求。【调整：移除模型回滚功能相关表述】</w:t>
            </w:r>
          </w:p>
        </w:tc>
      </w:tr>
    </w:tbl>
    <w:p w14:paraId="463BDB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bookmarkStart w:id="33" w:name="_Toc739022715"/>
      <w:bookmarkStart w:id="34" w:name="_Toc1332071783"/>
      <w:r>
        <w:rPr>
          <w:color w:val="1F2329"/>
          <w:sz w:val="32"/>
          <w:szCs w:val="32"/>
        </w:rPr>
        <w:t>5 接口设计规范</w:t>
      </w:r>
      <w:bookmarkEnd w:id="33"/>
      <w:bookmarkEnd w:id="34"/>
    </w:p>
    <w:p w14:paraId="59EDBF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bookmarkStart w:id="35" w:name="_Toc1856840404"/>
      <w:bookmarkStart w:id="36" w:name="_Toc613436906"/>
      <w:r>
        <w:rPr>
          <w:color w:val="1F2329"/>
          <w:sz w:val="32"/>
          <w:szCs w:val="32"/>
        </w:rPr>
        <w:t>5.1 接口设计原则</w:t>
      </w:r>
      <w:bookmarkEnd w:id="35"/>
      <w:bookmarkEnd w:id="36"/>
    </w:p>
    <w:p w14:paraId="004418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lang w:val="en-US" w:eastAsia="zh-CN" w:bidi="ar"/>
        </w:rPr>
        <w:t>接口设计严格遵循标准化、安全、易用、可追溯、可演进原则，贴合四大行业接口规范与政策要求：可追溯需留存完整接口调用日志（日志保存期限≥1 年），可演进需支持版本管理，确保接口变更不影响现有业务且变更过程留存完整记录；同时兼顾各行业特殊需求，如医疗行业接口遵循 HL7、FHIR 标准，金融行业接口强化敏感信息加密传输，确保接口设计合规、易用、可维护。</w:t>
      </w:r>
    </w:p>
    <w:p w14:paraId="4A6C6E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bookmarkStart w:id="37" w:name="_Toc684311824"/>
      <w:bookmarkStart w:id="38" w:name="_Toc2112573542"/>
      <w:r>
        <w:rPr>
          <w:color w:val="1F2329"/>
          <w:sz w:val="32"/>
          <w:szCs w:val="32"/>
        </w:rPr>
        <w:t>5.2 接口分类</w:t>
      </w:r>
      <w:bookmarkEnd w:id="37"/>
      <w:bookmarkEnd w:id="38"/>
    </w:p>
    <w:p w14:paraId="24958783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外部接入接口：涵盖会话管理、实时语音交互、离线语音识别、文本对话、业务数据查询与回写等，所有外部接口均需经过鉴权、权限校验，敏感接口（如金融交易接口、医疗患者信息接口）采用加密传输并留存详细调用日志，完全符合各行业接口安全与合规政策要求。</w:t>
      </w:r>
    </w:p>
    <w:p w14:paraId="3C17D0C3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内部服务接口：主要为 ASR、语义理解、知识检索、对话管理、模型服务、数据治理等模块间的调用接口，内部接口采用 gRPC 协议提升交互效率，调用过程留存完整日志，确保模块间交互可追溯，便于故障排查与审计核查。</w:t>
      </w:r>
    </w:p>
    <w:p w14:paraId="0804BC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bookmarkStart w:id="39" w:name="_Toc1453896283"/>
      <w:bookmarkStart w:id="40" w:name="_Toc1676384543"/>
      <w:r>
        <w:rPr>
          <w:color w:val="1F2329"/>
          <w:sz w:val="32"/>
          <w:szCs w:val="32"/>
        </w:rPr>
        <w:t>5.3 接口文档与日志</w:t>
      </w:r>
      <w:bookmarkEnd w:id="39"/>
      <w:bookmarkEnd w:id="40"/>
    </w:p>
    <w:p w14:paraId="096AA5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lang w:val="en-US" w:eastAsia="zh-CN" w:bidi="ar"/>
        </w:rPr>
        <w:t>接口文档提供完整的接口定义、参数说明、错误码与调用示例，确保开发与对接人员清晰理解接口用法；接口调用日志留存调用方、调用时间、参数摘要、处理结果与耗时，日志格式标准化，支持查询、导出与统计，用于故障排查、性能优化与审计核查，满足四大行业接口监管与审计要求。</w:t>
      </w:r>
    </w:p>
    <w:p w14:paraId="6EDCCC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bookmarkStart w:id="41" w:name="_Toc1565892815"/>
      <w:bookmarkStart w:id="42" w:name="_Toc9565561"/>
      <w:r>
        <w:rPr>
          <w:color w:val="1F2329"/>
          <w:sz w:val="32"/>
          <w:szCs w:val="32"/>
        </w:rPr>
        <w:t>6 安全与合规设计</w:t>
      </w:r>
      <w:bookmarkEnd w:id="41"/>
      <w:bookmarkEnd w:id="42"/>
    </w:p>
    <w:p w14:paraId="081B3F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bookmarkStart w:id="43" w:name="_Toc548447720"/>
      <w:bookmarkStart w:id="44" w:name="_Toc1854593849"/>
      <w:r>
        <w:rPr>
          <w:color w:val="1F2329"/>
          <w:sz w:val="32"/>
          <w:szCs w:val="32"/>
        </w:rPr>
        <w:t>6.1 总体思路</w:t>
      </w:r>
      <w:bookmarkEnd w:id="43"/>
      <w:bookmarkEnd w:id="44"/>
    </w:p>
    <w:p w14:paraId="03B44D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lang w:val="en-US" w:eastAsia="zh-CN" w:bidi="ar"/>
        </w:rPr>
        <w:t>遵循 “纵深防御、全程管控、可审计可追溯” 的核心原则，覆盖接入安全、数据安全、应用安全与运维安全，严格遵循《生成式人工智能服务管理暂行办法》《个人信息保护法》《网络安全法》《数据安全法》及四大行业专项监管政策，构建全方位、多层次的安全合规体系，确保系统与数据安全，满足各行业审计与监管要求，为项目合规验收提供支撑。</w:t>
      </w:r>
    </w:p>
    <w:p w14:paraId="18EBF6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bookmarkStart w:id="45" w:name="_Toc761017116"/>
      <w:bookmarkStart w:id="46" w:name="_Toc1581167585"/>
      <w:r>
        <w:rPr>
          <w:color w:val="1F2329"/>
          <w:sz w:val="32"/>
          <w:szCs w:val="32"/>
        </w:rPr>
        <w:t>6.2 接入安全</w:t>
      </w:r>
      <w:bookmarkEnd w:id="45"/>
      <w:bookmarkEnd w:id="46"/>
    </w:p>
    <w:p w14:paraId="302CA1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lang w:val="en-US" w:eastAsia="zh-CN" w:bidi="ar"/>
        </w:rPr>
        <w:t>全面落实鉴权、最小权限、限流熔断、IP 白名单、传输加密、异常访问告警等安全措施：采用多因素认证机制，严格区分不同角色接入权限，实现 “最小权限” 管控；针对四大行业高峰期业务场景，配置合理的限流熔断策略，防止系统过载；所有接入请求采用 TLS/SSL 加密传输，杜绝数据传输过程中泄露；建立异常访问监测机制，对异常 IP、异常请求频次等情况及时告警并留存记录，确保接入安全合规。</w:t>
      </w:r>
    </w:p>
    <w:p w14:paraId="4E1763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bookmarkStart w:id="47" w:name="_Toc2067080"/>
      <w:bookmarkStart w:id="48" w:name="_Toc1720953117"/>
      <w:r>
        <w:rPr>
          <w:color w:val="1F2329"/>
          <w:sz w:val="32"/>
          <w:szCs w:val="32"/>
        </w:rPr>
        <w:t>6.3 数据安全与合规</w:t>
      </w:r>
      <w:bookmarkEnd w:id="47"/>
      <w:bookmarkEnd w:id="48"/>
    </w:p>
    <w:p w14:paraId="28D6D052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数据不出域：严格遵循各行业数据安全政策要求，数据在客户可控环境内闭环处理，原则上不对外传输，确需传输的，需经过审批并采用加密传输，留存传输记录。</w:t>
      </w:r>
    </w:p>
    <w:p w14:paraId="37D1EEC9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必要落盘受控：对训练与审计必需的落盘数据执行加密存储（AES-256）、严格的权限控制与审计留痕，明确数据使用权限与使用范围，杜绝违规访问与数据泄露，贴合金融、医疗等行业敏感数据管控要求。</w:t>
      </w:r>
    </w:p>
    <w:p w14:paraId="76D6B48C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脱敏策略：对个人信息与敏感字段（如金融账户信息、患者隐私信息、政务个人信息、电商用户信息）按各行业标准执行脱敏处理，脱敏规则贴合行业政策要求，脱敏操作记录与数据使用记录可追溯，确保敏感数据安全。</w:t>
      </w:r>
    </w:p>
    <w:p w14:paraId="21CA2BE6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留存策略：日志与数据按各行业监管要求制定留存策略，日志留存期限≥1 年，核心业务数据留存期限符合行业规定，满足审计查询、导出与统计需求，确保数据可追溯。</w:t>
      </w:r>
    </w:p>
    <w:p w14:paraId="0E2B8C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bookmarkStart w:id="49" w:name="_Toc381675208"/>
      <w:bookmarkStart w:id="50" w:name="_Toc1749279623"/>
      <w:r>
        <w:rPr>
          <w:color w:val="1F2329"/>
          <w:sz w:val="32"/>
          <w:szCs w:val="32"/>
        </w:rPr>
        <w:t>6.4 审计与追溯</w:t>
      </w:r>
      <w:bookmarkEnd w:id="49"/>
      <w:bookmarkEnd w:id="50"/>
    </w:p>
    <w:p w14:paraId="54BC7F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lang w:val="en-US" w:eastAsia="zh-CN" w:bidi="ar"/>
        </w:rPr>
        <w:t>留存登录、接口调用、数据治理、标注、训练、模型发布等所有关键操作日志，日志内容完整、格式标准化，支持按时间、用户、操作类型等维度查询、导出与统计，形成完整的审计证据链；同时建立审计日志管理机制，定期对日志进行备份与归档，确保日志不丢失、可追溯，满足四大行业审计核查与监管追溯要求。</w:t>
      </w:r>
    </w:p>
    <w:p w14:paraId="6F87B5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bookmarkStart w:id="51" w:name="_Toc281567267"/>
      <w:bookmarkStart w:id="52" w:name="_Toc1091496331"/>
      <w:r>
        <w:rPr>
          <w:color w:val="1F2329"/>
          <w:sz w:val="32"/>
          <w:szCs w:val="32"/>
        </w:rPr>
        <w:t>7 系统详细设计及业务流程图</w:t>
      </w:r>
      <w:bookmarkEnd w:id="51"/>
      <w:bookmarkEnd w:id="52"/>
    </w:p>
    <w:p w14:paraId="4D61BC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bookmarkStart w:id="53" w:name="_Toc1394582128"/>
      <w:bookmarkStart w:id="54" w:name="_Toc973522443"/>
      <w:r>
        <w:rPr>
          <w:color w:val="1F2329"/>
          <w:sz w:val="32"/>
          <w:szCs w:val="32"/>
        </w:rPr>
        <w:t>7.1 系统详细设计概述</w:t>
      </w:r>
      <w:bookmarkEnd w:id="53"/>
      <w:bookmarkEnd w:id="54"/>
    </w:p>
    <w:p w14:paraId="56A177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lang w:val="en-US" w:eastAsia="zh-CN" w:bidi="ar"/>
        </w:rPr>
        <w:t>系统详细设计基于总体技术架构，聚焦核心业务流程、模块交互逻辑，明确各模块的输入输出、处理规则及合规控制点，确保系统设计可落地、可执行、可审计。本章节重点梳理四大行业通用的核心业务流程，绘制标准化业务流程图，清晰呈现 “用户请求 — 系统处理 — 业务响应 — 日志留存” 的全链路逻辑，同时贴合各行业合规要求，明确流程中的安全管控与审计节点。</w:t>
      </w:r>
    </w:p>
    <w:p w14:paraId="686456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bookmarkStart w:id="55" w:name="_Toc1105301938"/>
      <w:bookmarkStart w:id="56" w:name="_Toc313793008"/>
      <w:r>
        <w:rPr>
          <w:color w:val="1F2329"/>
          <w:sz w:val="32"/>
          <w:szCs w:val="32"/>
        </w:rPr>
        <w:t>7.2 核心业务流程图</w:t>
      </w:r>
      <w:bookmarkEnd w:id="55"/>
      <w:bookmarkEnd w:id="56"/>
      <w:bookmarkStart w:id="73" w:name="_GoBack"/>
      <w:bookmarkEnd w:id="73"/>
    </w:p>
    <w:p w14:paraId="44E073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lang w:val="en-US" w:eastAsia="zh-CN" w:bidi="ar"/>
        </w:rPr>
        <w:t>以下流程图覆盖移动智能语音中台核心业务全流程，涵盖用户接入、AI 能力处理、业务对接、合规审计等关键环节，适配金融、电商、政务、医疗四大行业通用场景，流程中明确标注安全校验、日志留存等合规节点，确保业务开展符合各行业监管要求。</w:t>
      </w:r>
    </w:p>
    <w:p w14:paraId="355DF7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lang w:val="en-US" w:eastAsia="zh-CN" w:bidi="ar"/>
        </w:rPr>
        <w:t>[流程图暂不支持下载]</w:t>
      </w:r>
    </w:p>
    <w:p w14:paraId="0B2C4D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lang w:val="en-US" w:eastAsia="zh-CN" w:bidi="ar"/>
        </w:rPr>
        <w:t>流程图说明：</w:t>
      </w:r>
    </w:p>
    <w:p w14:paraId="3BB4622C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核心逻辑：覆盖 “请求发起 — 安全校验 —AI 处理 — 业务对接 — 响应反馈” 全链路，确保各环节衔接顺畅，同时嵌入合规审计节点，所有关键操作均留存日志，满足各行业可追溯要求。</w:t>
      </w:r>
    </w:p>
    <w:p w14:paraId="72FFF813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行业适配：流程中 “行业模型与业务增强层” 可根据四大行业需求，加载对应行业模型与合规策略（如金融敏感信息脱敏、医疗术语优化），无需修改核心流程框架，适配性强。</w:t>
      </w:r>
    </w:p>
    <w:p w14:paraId="776FB04B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合规管控：明确标注接入校验、日志留存、敏感信息脱敏等合规节点，贴合《个人信息保护法》《数据安全法》及四大行业专项政策，确保业务流程合规可审计。</w:t>
      </w:r>
    </w:p>
    <w:p w14:paraId="55E1EF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bookmarkStart w:id="57" w:name="_Toc1076125416"/>
      <w:bookmarkStart w:id="58" w:name="_Toc1846732071"/>
      <w:r>
        <w:rPr>
          <w:color w:val="1F2329"/>
          <w:sz w:val="32"/>
          <w:szCs w:val="32"/>
        </w:rPr>
        <w:t>7.3 流程关键节点说明</w:t>
      </w:r>
      <w:bookmarkEnd w:id="57"/>
      <w:bookmarkEnd w:id="58"/>
    </w:p>
    <w:p w14:paraId="1F517B6A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请求接入节点：用户或外部业务系统发起语音 / 文本请求，采用 TLS/SSL 加密传输，接入网关完成鉴权、IP 白名单校验，留存接入日志，杜绝非法接入，贴合各行业接入安全要求。</w:t>
      </w:r>
    </w:p>
    <w:p w14:paraId="6975CB92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AI 处理节点：ASR 模块完成语音转写，NLU 模块完成意图识别，对话管理模块实现多轮交互逻辑，行业模型层优化行业适配能力，确保处理结果准确、合规，适配四大行业业务场景。</w:t>
      </w:r>
    </w:p>
    <w:p w14:paraId="797DF5FB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业务对接节点：通过业务接口适配模块对接各行业外部系统，数据交互采用加密传输，留存对接日志，实现业务数据查询、回写等功能，支撑业务闭环，符合各行业系统对接规范。</w:t>
      </w:r>
    </w:p>
    <w:p w14:paraId="643E5D85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合规审计节点：全流程关键操作（接入、AI 处理、知识检索、业务对接）均留存完整日志，日志保存期限≥1 年，支持查询、导出，形成审计证据链，满足各行业审计核查要求。</w:t>
      </w:r>
    </w:p>
    <w:p w14:paraId="772476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bookmarkStart w:id="59" w:name="_Toc332591678"/>
      <w:bookmarkStart w:id="60" w:name="_Toc444767206"/>
      <w:r>
        <w:rPr>
          <w:color w:val="1F2329"/>
          <w:sz w:val="32"/>
          <w:szCs w:val="32"/>
        </w:rPr>
        <w:t>8 项目概述</w:t>
      </w:r>
      <w:bookmarkEnd w:id="59"/>
      <w:bookmarkEnd w:id="60"/>
    </w:p>
    <w:p w14:paraId="5A442E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bookmarkStart w:id="61" w:name="_Toc2115882652"/>
      <w:bookmarkStart w:id="62" w:name="_Toc1959339682"/>
      <w:r>
        <w:rPr>
          <w:color w:val="1F2329"/>
          <w:sz w:val="32"/>
          <w:szCs w:val="32"/>
        </w:rPr>
        <w:t>8.1 项目背景</w:t>
      </w:r>
      <w:bookmarkEnd w:id="61"/>
      <w:bookmarkEnd w:id="62"/>
    </w:p>
    <w:p w14:paraId="1B49B5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lang w:val="en-US" w:eastAsia="zh-CN" w:bidi="ar"/>
        </w:rPr>
        <w:t>随着人工智能、大数据技术的快速发展，以及金融、电商、政务、医疗四大行业数字化转型的持续深化，各行业对智能语音交互的需求日益迫切，不仅需要高效、精准的语音识别与语义理解能力，更需满足行业专项监管政策要求，实现合规化、可审计、可追溯的智能服务。当前各行业现有语音交互系统多存在能力分散、行业适配性差、合规管控不足、数据安全风险突出等问题，难以支撑多场景、高并发的业务需求，也无法满足审计与监管的核心要求。基于此，启动移动智能语音中台项目建设，打造统一、高效、安全、合规的智能语音中台，整合 AI 与大数据核心能力，适配四大行业差异化业务场景，助力客户实现业务智能化升级，同时满足各行业合规审计需求。</w:t>
      </w:r>
    </w:p>
    <w:p w14:paraId="75385A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bookmarkStart w:id="63" w:name="_Toc1458021491"/>
      <w:bookmarkStart w:id="64" w:name="_Toc1107792276"/>
      <w:r>
        <w:rPr>
          <w:color w:val="1F2329"/>
          <w:sz w:val="32"/>
          <w:szCs w:val="32"/>
        </w:rPr>
        <w:t>8.2 项目目标</w:t>
      </w:r>
      <w:bookmarkEnd w:id="63"/>
      <w:bookmarkEnd w:id="64"/>
    </w:p>
    <w:p w14:paraId="2D915EF0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核心能力目标：构建 “通用 AI 基座 + 行业增强” 的核心架构，实现语音识别、语义理解、对话管理、知识检索等核心能力的统一封装与复用，适配四大行业业务场景，提升交互效率与准确性，支撑多轮复杂对话需求。</w:t>
      </w:r>
    </w:p>
    <w:p w14:paraId="5D2C63DD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合规安全目标：严格遵循国家相关法规及四大行业专项监管政策，构建全方位安全合规体系，实现数据安全、接口安全、模型安全管控，所有关键操作全程留痕，满足审计可追溯、数据可管控的核心要求。</w:t>
      </w:r>
    </w:p>
    <w:p w14:paraId="1B90F235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行业适配目标：针对金融、电商、政务、医疗四大行业，打造专属行业模型与业务适配能力，贴合各行业业务规则与政策要求，实现与行业现有业务系统的无缝对接，支撑业务闭环。</w:t>
      </w:r>
    </w:p>
    <w:p w14:paraId="29C5F598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可扩展目标：采用模块化、松耦合架构，支持模型增量训练、能力扩展与业务迭代，适配未来行业政策更新与业务发展需求，无需大规模重构系统即可完成功能升级。</w:t>
      </w:r>
    </w:p>
    <w:p w14:paraId="0D1372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bookmarkStart w:id="65" w:name="_Toc31303320"/>
      <w:bookmarkStart w:id="66" w:name="_Toc2129046889"/>
      <w:r>
        <w:rPr>
          <w:color w:val="1F2329"/>
          <w:sz w:val="32"/>
          <w:szCs w:val="32"/>
        </w:rPr>
        <w:t>8.3 项目范围</w:t>
      </w:r>
      <w:bookmarkEnd w:id="65"/>
      <w:bookmarkEnd w:id="66"/>
    </w:p>
    <w:p w14:paraId="0410B2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lang w:val="en-US" w:eastAsia="zh-CN" w:bidi="ar"/>
        </w:rPr>
        <w:t>本项目覆盖移动智能语音中台的全流程建设，包括总体架构设计、核心技术模块开发、行业模型适配、技术选型、接口设计、安全合规管控、系统详细设计及业务流程梳理，不包含基础设施部署、第三方系统改造及后期运维服务（已按要求删减运维相关内容）。项目建设范围涵盖四大行业通用能力建设与行业专属适配，确保系统可直接对接各行业外部业务系统，落地智能语音交互场景。</w:t>
      </w:r>
    </w:p>
    <w:p w14:paraId="404EC15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bookmarkStart w:id="67" w:name="_Toc2128889372"/>
      <w:bookmarkStart w:id="68" w:name="_Toc1518537109"/>
      <w:r>
        <w:rPr>
          <w:color w:val="1F2329"/>
          <w:sz w:val="32"/>
          <w:szCs w:val="32"/>
        </w:rPr>
        <w:t>9 系统功能模块设计</w:t>
      </w:r>
      <w:bookmarkEnd w:id="67"/>
      <w:bookmarkEnd w:id="68"/>
    </w:p>
    <w:p w14:paraId="54F917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bookmarkStart w:id="69" w:name="_Toc1018632537"/>
      <w:bookmarkStart w:id="70" w:name="_Toc1357530015"/>
      <w:r>
        <w:rPr>
          <w:color w:val="1F2329"/>
          <w:sz w:val="32"/>
          <w:szCs w:val="32"/>
        </w:rPr>
        <w:t>9.1 功能模块设计原则</w:t>
      </w:r>
      <w:bookmarkEnd w:id="69"/>
      <w:bookmarkEnd w:id="70"/>
    </w:p>
    <w:p w14:paraId="44A206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lang w:val="en-US" w:eastAsia="zh-CN" w:bidi="ar"/>
        </w:rPr>
        <w:t>遵循 “模块化、高内聚、松耦合、合规化、可复用” 的设计原则，结合四大行业业务需求与监管要求，将系统功能划分为核心基础功能、行业适配功能、安全合规功能三大类，确保各模块功能独立、接口标准化，既支持跨行业复用，也可根据行业需求灵活扩展，同时嵌入合规管控节点，确保所有功能操作可审计、可追溯。模块设计兼顾实用性与扩展性，每个核心模块均配套对应功能说明、操作流程及图片标注，图片主要用于直观呈现模块架构、功能逻辑或操作界面，辅助理解模块核心作用。</w:t>
      </w:r>
    </w:p>
    <w:p w14:paraId="465300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bookmarkStart w:id="71" w:name="_Toc417415475"/>
      <w:bookmarkStart w:id="72" w:name="_Toc1140696377"/>
      <w:r>
        <w:rPr>
          <w:color w:val="1F2329"/>
          <w:sz w:val="32"/>
          <w:szCs w:val="32"/>
        </w:rPr>
        <w:t>9.2 核心基础功能模块</w:t>
      </w:r>
      <w:bookmarkEnd w:id="71"/>
      <w:bookmarkEnd w:id="72"/>
    </w:p>
    <w:p w14:paraId="358AEF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lang w:val="en-US" w:eastAsia="zh-CN" w:bidi="ar"/>
        </w:rPr>
        <w:t>核心基础功能模块是系统的核心支撑，实现通用 AI 能力与基础管控功能，为行业适配功能提供底座，覆盖接入、AI 处理、数据治理、知识管理、运营监控、权限管控等核心环节，所有功能均留存操作日志，满足合规追溯要求。各模块均配套图片标注，图片用途明确，贴合模块功能核心。【调整：新增 14 个细分功能模块，补充具体功能描述、需求及截图位置】</w:t>
      </w:r>
    </w:p>
    <w:p w14:paraId="1B77FF9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9.2.1 智能指挥中心</w:t>
      </w:r>
    </w:p>
    <w:p w14:paraId="3AF0FBC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功能描述</w:t>
      </w:r>
    </w:p>
    <w:p w14:paraId="1BB91F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lang w:val="en-US" w:eastAsia="zh-CN" w:bidi="ar"/>
        </w:rPr>
        <w:t>企业级 AI 运营总览大屏，提供全局视角的实时监控和数据分析，帮助管理者快速掌握平台运营状态、模型性能、系统告警等关键信息。</w:t>
      </w:r>
    </w:p>
    <w:p w14:paraId="66EFDAD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功能需求</w:t>
      </w:r>
    </w:p>
    <w:p w14:paraId="605B8767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核心指标监控：训练任务数、模型准确率、数据资产、在线用户数</w:t>
      </w:r>
    </w:p>
    <w:p w14:paraId="7F79FAD7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生产模型实时监控：展示各行业具体模型（金融 - ASR、电商 - NLU 等）的 QPS、响应时间、准确率、调用量</w:t>
      </w:r>
    </w:p>
    <w:p w14:paraId="32E5AB60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AI 通话实时监控：今日通话总数、AI 自动处理 vs 人工接管比例、实时通话列表、客户满意度</w:t>
      </w:r>
    </w:p>
    <w:p w14:paraId="2EF83EB8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人工核对待办：待核对标注数据、待审批模型发布、待处理异常通话，按优先级分类</w:t>
      </w:r>
    </w:p>
    <w:p w14:paraId="22DF23B5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系统告警中心：服务器离线、硬盘使用率、待核对积压、数据库连接池等运维告警</w:t>
      </w:r>
    </w:p>
    <w:p w14:paraId="74F9F00D">
      <w:pPr>
        <w:bidi w:val="0"/>
      </w:pPr>
      <w:r>
        <w:drawing>
          <wp:inline distT="0" distB="0" distL="114300" distR="114300">
            <wp:extent cx="5262880" cy="2469515"/>
            <wp:effectExtent l="0" t="0" r="20320" b="196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482215"/>
            <wp:effectExtent l="0" t="0" r="1651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975" cy="2492375"/>
            <wp:effectExtent l="0" t="0" r="22225" b="222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49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DA0F1"/>
    <w:p w14:paraId="6A50581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9.2.2 账号权限管理</w:t>
      </w:r>
    </w:p>
    <w:p w14:paraId="6E7454C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功能描述</w:t>
      </w:r>
    </w:p>
    <w:p w14:paraId="770F17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lang w:val="en-US" w:eastAsia="zh-CN" w:bidi="ar"/>
        </w:rPr>
        <w:t>企业级 RBAC 权限体系，提供完整的用户生命周期管理和细粒度权限控制，支持多角色、多层级的权限体系。</w:t>
      </w:r>
    </w:p>
    <w:p w14:paraId="49542AB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功能需求</w:t>
      </w:r>
    </w:p>
    <w:p w14:paraId="71C90096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用户管理：用户列表展示、搜索筛选、新建编辑、批量操作、导入导出</w:t>
      </w:r>
    </w:p>
    <w:p w14:paraId="5D7D428E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用户信息：用户名、姓名 / 工号、角色、部门、状态、最后登录时间和 IP</w:t>
      </w:r>
    </w:p>
    <w:p w14:paraId="31076ABD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角色权限配置：超级管理员、模型工程师、数据分析师、标注员等角色，支持 128 项细粒度权限</w:t>
      </w:r>
    </w:p>
    <w:p w14:paraId="4942E8BB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权限分类：AI 模型管理、特征工程、数据治理、用户管理、审计中心等</w:t>
      </w:r>
    </w:p>
    <w:p w14:paraId="0A098258">
      <w:pPr>
        <w:bidi w:val="0"/>
      </w:pPr>
      <w:r>
        <w:drawing>
          <wp:inline distT="0" distB="0" distL="114300" distR="114300">
            <wp:extent cx="5266055" cy="2476500"/>
            <wp:effectExtent l="0" t="0" r="17145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A6FA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9.2.3 AI 模型工厂</w:t>
      </w:r>
    </w:p>
    <w:p w14:paraId="1218A56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功能描述</w:t>
      </w:r>
    </w:p>
    <w:p w14:paraId="67C4E8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lang w:val="en-US" w:eastAsia="zh-CN" w:bidi="ar"/>
        </w:rPr>
        <w:t>企业级 MLOps 核心引擎，提供完整的模型训练生命周期管理，从任务创建、实时监控到模型注册。</w:t>
      </w:r>
    </w:p>
    <w:p w14:paraId="527D1C4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功能需求</w:t>
      </w:r>
    </w:p>
    <w:p w14:paraId="43904401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统计概览：训练任务数、模型注册数、实验追踪数、成功率统计</w:t>
      </w:r>
    </w:p>
    <w:p w14:paraId="51D5F1D6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训练任务流水线：运行中任务（显示进度、Loss、Acc、资源使用）、排队中任务（队列位置、预计等待）、已完成任务（最终指标、性能提升）</w:t>
      </w:r>
    </w:p>
    <w:p w14:paraId="1E1D9B4B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任务控制：查看详情、TensorBoard、暂停、停止、调整资源、调整优先级</w:t>
      </w:r>
    </w:p>
    <w:p w14:paraId="797D68AB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训练模式支持：微调、全量训练、增量训练、迁移学习</w:t>
      </w:r>
    </w:p>
    <w:p w14:paraId="559BEFB5">
      <w:pPr>
        <w:bidi w:val="0"/>
      </w:pPr>
      <w:r>
        <w:drawing>
          <wp:inline distT="0" distB="0" distL="114300" distR="114300">
            <wp:extent cx="5272405" cy="2515870"/>
            <wp:effectExtent l="0" t="0" r="10795" b="241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C488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9.2.4 实验追踪中心</w:t>
      </w:r>
    </w:p>
    <w:p w14:paraId="506EF97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功能描述</w:t>
      </w:r>
    </w:p>
    <w:p w14:paraId="5782AE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lang w:val="en-US" w:eastAsia="zh-CN" w:bidi="ar"/>
        </w:rPr>
        <w:t>实验管理和对比分析平台，自动记录实验参数和结果，支持多实验对比，帮助快速找到最优模型配置。</w:t>
      </w:r>
    </w:p>
    <w:p w14:paraId="3745E1E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功能需求</w:t>
      </w:r>
    </w:p>
    <w:p w14:paraId="6E777C69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实验列表：实验 ID、名称、模型类型、准确率、Loss、状态、创建时间</w:t>
      </w:r>
    </w:p>
    <w:p w14:paraId="42BC5A85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实验对比：准确率对比柱状图、趋势分析、最优实验识别</w:t>
      </w:r>
    </w:p>
    <w:p w14:paraId="08FA5E56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实验记录：自动记录实验参数、训练指标、模型产物</w:t>
      </w:r>
    </w:p>
    <w:p w14:paraId="4BB2198B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操作功能：创建新实验、对比实验、查看详情、导出结果</w:t>
      </w:r>
    </w:p>
    <w:p w14:paraId="15C73076">
      <w:pPr>
        <w:bidi w:val="0"/>
      </w:pPr>
      <w:r>
        <w:drawing>
          <wp:inline distT="0" distB="0" distL="114300" distR="114300">
            <wp:extent cx="5264150" cy="2533650"/>
            <wp:effectExtent l="0" t="0" r="1905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807A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9.2.5 知识图谱</w:t>
      </w:r>
    </w:p>
    <w:p w14:paraId="507C8A6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功能描述</w:t>
      </w:r>
    </w:p>
    <w:p w14:paraId="0B9280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lang w:val="en-US" w:eastAsia="zh-CN" w:bidi="ar"/>
        </w:rPr>
        <w:t>业务知识可视化管理平台，将业务知识结构化为图谱形式，支持实体和关系的可视化管理。</w:t>
      </w:r>
    </w:p>
    <w:p w14:paraId="6DCDD1B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功能需求</w:t>
      </w:r>
    </w:p>
    <w:p w14:paraId="670D2BF1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知识图谱可视化：SVG 交互式图谱、多层级结构（用户 - 业务 - 意图 - 实体）、关系展示、支持缩放拖拽</w:t>
      </w:r>
    </w:p>
    <w:p w14:paraId="1050A7A0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实体统计：用户、业务、意图、实体等类型统计，显示数量和占比</w:t>
      </w:r>
    </w:p>
    <w:p w14:paraId="6EE316AE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关系统计：拥有、关联、包含、依赖等关系统计，显示数量和占比</w:t>
      </w:r>
    </w:p>
    <w:p w14:paraId="4A0FCFE6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三元组管理：总三元组数统计、支持查询和编辑</w:t>
      </w:r>
    </w:p>
    <w:p w14:paraId="37F0612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drawing>
          <wp:inline distT="0" distB="0" distL="114300" distR="114300">
            <wp:extent cx="5255895" cy="2499995"/>
            <wp:effectExtent l="0" t="0" r="1905" b="146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49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1F2329"/>
          <w:sz w:val="32"/>
          <w:szCs w:val="32"/>
        </w:rPr>
        <w:t>9.2.6 链路追踪</w:t>
      </w:r>
    </w:p>
    <w:p w14:paraId="515A6D8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功能描述</w:t>
      </w:r>
    </w:p>
    <w:p w14:paraId="41FA61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lang w:val="en-US" w:eastAsia="zh-CN" w:bidi="ar"/>
        </w:rPr>
        <w:t>分布式调用链监控平台，提供完整的调用链追踪能力，帮助快速定位性能瓶颈和故障点。</w:t>
      </w:r>
    </w:p>
    <w:p w14:paraId="0A540A8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功能需求</w:t>
      </w:r>
    </w:p>
    <w:p w14:paraId="456BC7B1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实时监控指标：今日调用量、平均耗时、成功率、错误数</w:t>
      </w:r>
    </w:p>
    <w:p w14:paraId="2C15146A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调用链列表：Trace ID、服务链路（API→ASR→NLU→Dialog→RAG→Response）、总耗时、Span 数、状态</w:t>
      </w:r>
    </w:p>
    <w:p w14:paraId="4E191DB1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服务性能分析：各服务平均耗时柱状图、最慢服务识别、瓶颈定位</w:t>
      </w:r>
    </w:p>
    <w:p w14:paraId="44321165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性能优化建议：基于分析结果提供优化建议</w:t>
      </w:r>
    </w:p>
    <w:p w14:paraId="08CD499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drawing>
          <wp:inline distT="0" distB="0" distL="114300" distR="114300">
            <wp:extent cx="5255895" cy="2464435"/>
            <wp:effectExtent l="0" t="0" r="1905" b="247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46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1F2329"/>
          <w:sz w:val="32"/>
          <w:szCs w:val="32"/>
        </w:rPr>
        <w:t>9.2.7 数据治理</w:t>
      </w:r>
    </w:p>
    <w:p w14:paraId="6E38DD6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功能描述</w:t>
      </w:r>
    </w:p>
    <w:p w14:paraId="7E2986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lang w:val="en-US" w:eastAsia="zh-CN" w:bidi="ar"/>
        </w:rPr>
        <w:t>企业级数据全生命周期管理平台，提供数据资产管理、数据质量监控、数据血缘追溯能力。</w:t>
      </w:r>
    </w:p>
    <w:p w14:paraId="14D30F9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功能需求</w:t>
      </w:r>
    </w:p>
    <w:p w14:paraId="355FE464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数据资产统计：数据源、数据集、数据表、标签的数量统计</w:t>
      </w:r>
    </w:p>
    <w:p w14:paraId="4FA37A89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数据源管理：数据源列表（MySQL、OSS 等）、状态监控、表级详情（记录数、大小、更新时间）</w:t>
      </w:r>
    </w:p>
    <w:p w14:paraId="4F129576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数据血缘追溯：上游依赖分析、下游影响分析、完整血缘链路、影响范围评估</w:t>
      </w:r>
    </w:p>
    <w:p w14:paraId="416BCF4B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数据质量监控：质量得分、异常数据统计、质检任务、4 个质量维度评分（完整性、准确性、一致性、及时性）、近 30 天质量趋势</w:t>
      </w:r>
    </w:p>
    <w:p w14:paraId="234AD9B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drawing>
          <wp:inline distT="0" distB="0" distL="114300" distR="114300">
            <wp:extent cx="5265420" cy="2491105"/>
            <wp:effectExtent l="0" t="0" r="17780" b="2349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9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1F2329"/>
          <w:sz w:val="32"/>
          <w:szCs w:val="32"/>
        </w:rPr>
        <w:t>9.2.8 智能标注</w:t>
      </w:r>
    </w:p>
    <w:p w14:paraId="75C67DE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功能描述</w:t>
      </w:r>
    </w:p>
    <w:p w14:paraId="7FB190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lang w:val="en-US" w:eastAsia="zh-CN" w:bidi="ar"/>
        </w:rPr>
        <w:t>AI 辅助的智能标注平台，采用 "AI 预标注 + 人工修正" 模式，大幅提升标注效率，同时保证标注质量。</w:t>
      </w:r>
    </w:p>
    <w:p w14:paraId="288ABB8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功能需求</w:t>
      </w:r>
    </w:p>
    <w:p w14:paraId="1930A3B6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标注统计：标注任务数、AI 标注率、人工修正率、标注准确率</w:t>
      </w:r>
    </w:p>
    <w:p w14:paraId="3F44C903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标注任务列表：任务名称、类型（意图分类 / 实体识别）、总数、AI 标注数、人工修正数、已完成数、状态</w:t>
      </w:r>
    </w:p>
    <w:p w14:paraId="612DA238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AI vs 人工对比：速度、成本、准确率的对比分析</w:t>
      </w:r>
    </w:p>
    <w:p w14:paraId="6C3FCA5F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智能建议：基于数据提供标注策略建议</w:t>
      </w:r>
    </w:p>
    <w:p w14:paraId="321CFDD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drawing>
          <wp:inline distT="0" distB="0" distL="114300" distR="114300">
            <wp:extent cx="5272405" cy="2508885"/>
            <wp:effectExtent l="0" t="0" r="10795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1F2329"/>
          <w:sz w:val="32"/>
          <w:szCs w:val="32"/>
        </w:rPr>
        <w:t>9.2.9 模型监控</w:t>
      </w:r>
    </w:p>
    <w:p w14:paraId="68115FB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功能描述</w:t>
      </w:r>
    </w:p>
    <w:p w14:paraId="5E49D0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lang w:val="en-US" w:eastAsia="zh-CN" w:bidi="ar"/>
        </w:rPr>
        <w:t>生产模型性能监控平台，实时监控生产环境中所有模型的性能指标，及时发现异常。</w:t>
      </w:r>
    </w:p>
    <w:p w14:paraId="0087352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功能需求</w:t>
      </w:r>
    </w:p>
    <w:p w14:paraId="68EEFB6D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监控统计：生产模型数、平均响应时间、平均准确率、漂移告警数</w:t>
      </w:r>
    </w:p>
    <w:p w14:paraId="275CEACB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模型性能监控表：模型名称和版本、QPS、响应时间、准确率、健康度状态</w:t>
      </w:r>
    </w:p>
    <w:p w14:paraId="7CBEF911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模型性能趋势：准确率趋势图（近 7 天）、稳定性分析</w:t>
      </w:r>
    </w:p>
    <w:p w14:paraId="4B81D4B4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性能亮点：展示表现优异的模型及其关键指标</w:t>
      </w:r>
    </w:p>
    <w:p w14:paraId="1E548B1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drawing>
          <wp:inline distT="0" distB="0" distL="114300" distR="114300">
            <wp:extent cx="5271135" cy="2101850"/>
            <wp:effectExtent l="0" t="0" r="12065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1F2329"/>
          <w:sz w:val="32"/>
          <w:szCs w:val="32"/>
        </w:rPr>
        <w:t>9.2.10 人工干预</w:t>
      </w:r>
    </w:p>
    <w:p w14:paraId="2551C45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功能描述</w:t>
      </w:r>
    </w:p>
    <w:p w14:paraId="2B3338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lang w:val="en-US" w:eastAsia="zh-CN" w:bidi="ar"/>
        </w:rPr>
        <w:t>AI 记录 + 人工处理工单系统，AI 自动识别问题并生成工单，人工处理后反馈优化模型，形成闭环。</w:t>
      </w:r>
    </w:p>
    <w:p w14:paraId="4965FE8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功能需求</w:t>
      </w:r>
    </w:p>
    <w:p w14:paraId="644FAD66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工单统计：待处理工单数、AI 自动记录数、已处理数、平均处理时长</w:t>
      </w:r>
    </w:p>
    <w:p w14:paraId="792CECCA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工单列表：工单 ID、问题类型（用户投诉 / 标注修正 / 模型优化 / 数据质量）、问题描述、优先级、AI 置信度、创建时间、状态</w:t>
      </w:r>
    </w:p>
    <w:p w14:paraId="2D657DA6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工单统计分析：按问题类型统计、处理效率统计（平均处理时长、24 小时内处理率、用户满意度、重复工单率）</w:t>
      </w:r>
    </w:p>
    <w:p w14:paraId="74FB6A69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工单流程：AI 识别→生成工单→分配处理→人工处理→结果反馈→模型优化</w:t>
      </w:r>
    </w:p>
    <w:p w14:paraId="50F7A07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drawing>
          <wp:inline distT="0" distB="0" distL="114300" distR="114300">
            <wp:extent cx="5266690" cy="2479675"/>
            <wp:effectExtent l="0" t="0" r="1651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7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1F2329"/>
          <w:sz w:val="32"/>
          <w:szCs w:val="32"/>
        </w:rPr>
        <w:t>9.2.11 审计中心</w:t>
      </w:r>
    </w:p>
    <w:p w14:paraId="6EBFCB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功能描述</w:t>
      </w:r>
    </w:p>
    <w:p w14:paraId="5CFF71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lang w:val="en-US" w:eastAsia="zh-CN" w:bidi="ar"/>
        </w:rPr>
        <w:t>操作审计和日志管理平台，记录系统所有关键操作，提供完整的审计追踪能力，确保操作可追溯。</w:t>
      </w:r>
    </w:p>
    <w:p w14:paraId="5453EC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功能需求</w:t>
      </w:r>
    </w:p>
    <w:p w14:paraId="13BBD187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审计统计：今日操作数、活跃用户数、异常操作数、合规率</w:t>
      </w:r>
    </w:p>
    <w:p w14:paraId="445BB28A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操作审计日志表：时间、用户、操作类型、操作对象、风险等级（高 / 中 / 低）、状态</w:t>
      </w:r>
    </w:p>
    <w:p w14:paraId="2DBC5C0A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详细操作日志：完整的操作记录，包含 IP 地址、审批单号、操作参数、执行结果等详细信息</w:t>
      </w:r>
    </w:p>
    <w:p w14:paraId="504183D6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日志筛选：支持按时间、用户、操作类型、风险等级筛选</w:t>
      </w:r>
    </w:p>
    <w:p w14:paraId="42C66FF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drawing>
          <wp:inline distT="0" distB="0" distL="114300" distR="114300">
            <wp:extent cx="5257800" cy="2503170"/>
            <wp:effectExtent l="0" t="0" r="0" b="1143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1F2329"/>
          <w:sz w:val="32"/>
          <w:szCs w:val="32"/>
        </w:rPr>
        <w:t>9.2.12 流程编排</w:t>
      </w:r>
    </w:p>
    <w:p w14:paraId="2CF406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功能描述</w:t>
      </w:r>
    </w:p>
    <w:p w14:paraId="7863A8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lang w:val="en-US" w:eastAsia="zh-CN" w:bidi="ar"/>
        </w:rPr>
        <w:t>可视化流程编排平台，支持拖拽式设计复杂业务流程，包含数据处理、模型训练、模型部署等节点。</w:t>
      </w:r>
    </w:p>
    <w:p w14:paraId="5FCE28A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功能需求</w:t>
      </w:r>
    </w:p>
    <w:p w14:paraId="49A9192B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流程统计：流程总数、成功率、平均耗时、今日执行数</w:t>
      </w:r>
    </w:p>
    <w:p w14:paraId="5CE418BB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流程编排画布：可视化拖拽设计、支持多种节点类型（数据源、数据处理、模型训练、模型评估、模型部署、条件分支、循环、定时触发）</w:t>
      </w:r>
    </w:p>
    <w:p w14:paraId="0D71CEF3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流程列表：流程名称、类型、节点数、状态、最后执行时间、成功率</w:t>
      </w:r>
    </w:p>
    <w:p w14:paraId="24A4C6FB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流程控制：保存、运行、新建流程</w:t>
      </w:r>
    </w:p>
    <w:p w14:paraId="0E0627A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drawing>
          <wp:inline distT="0" distB="0" distL="114300" distR="114300">
            <wp:extent cx="5259070" cy="2468245"/>
            <wp:effectExtent l="0" t="0" r="24130" b="209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314065"/>
            <wp:effectExtent l="0" t="0" r="10795" b="133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1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1F2329"/>
          <w:sz w:val="32"/>
          <w:szCs w:val="32"/>
        </w:rPr>
        <w:t>9.2.13 对话测试</w:t>
      </w:r>
    </w:p>
    <w:p w14:paraId="6F55106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功能描述</w:t>
      </w:r>
    </w:p>
    <w:p w14:paraId="5B2E6A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lang w:val="en-US" w:eastAsia="zh-CN" w:bidi="ar"/>
        </w:rPr>
        <w:t>对话测试台，支持实时测试 AI 模型的对话能力，提供实时分析和调用链路展示。</w:t>
      </w:r>
    </w:p>
    <w:p w14:paraId="7AFE8CE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功能需求</w:t>
      </w:r>
    </w:p>
    <w:p w14:paraId="091F186E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模型选择：支持切换不同行业模型（金融 - ASR、电商 - NLU、政务 - 意图、医疗 - 随访）</w:t>
      </w:r>
    </w:p>
    <w:p w14:paraId="59159323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对话界面：AI 和用户的对话展示、显示置信度和意图识别结果</w:t>
      </w:r>
    </w:p>
    <w:p w14:paraId="75A24C83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实时分析：意图识别、实体抽取、情感分析、响应时间</w:t>
      </w:r>
    </w:p>
    <w:p w14:paraId="3B839FE9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调用链路：显示完整的服务调用链（ASR 识别→NLU 理解→对话管理→业务查询）</w:t>
      </w:r>
    </w:p>
    <w:p w14:paraId="56A6CD0F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操作功能：清空对话、导出记录</w:t>
      </w:r>
    </w:p>
    <w:p w14:paraId="0FFEDBD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drawing>
          <wp:inline distT="0" distB="0" distL="114300" distR="114300">
            <wp:extent cx="5269230" cy="2541270"/>
            <wp:effectExtent l="0" t="0" r="13970" b="2413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1F2329"/>
          <w:sz w:val="32"/>
          <w:szCs w:val="32"/>
        </w:rPr>
        <w:t>9.2.14 系统配置</w:t>
      </w:r>
    </w:p>
    <w:p w14:paraId="41DF161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功能描述</w:t>
      </w:r>
    </w:p>
    <w:p w14:paraId="1B5A2E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rFonts w:ascii="宋体" w:hAnsi="宋体" w:eastAsia="宋体" w:cs="宋体"/>
          <w:color w:val="1F2329"/>
          <w:kern w:val="0"/>
          <w:sz w:val="32"/>
          <w:szCs w:val="32"/>
          <w:lang w:val="en-US" w:eastAsia="zh-CN" w:bidi="ar"/>
        </w:rPr>
        <w:t>系统配置管理平台，提供系统基础配置、功能开关、参数设置等管理能力。</w:t>
      </w:r>
    </w:p>
    <w:p w14:paraId="2974413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功能需求</w:t>
      </w:r>
    </w:p>
    <w:p w14:paraId="5DCB8706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配置分类：基础配置、模型配置、告警配置、安全配置、集成配置</w:t>
      </w:r>
    </w:p>
    <w:p w14:paraId="65A80FD8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基础配置：系统名称、系统描述、默认行业、时区设置、语言设置</w:t>
      </w:r>
    </w:p>
    <w:p w14:paraId="553443CC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功能开关：启用 AI 自动标注、启用实时性能监控、启用智能告警、启用调试模式</w:t>
      </w:r>
    </w:p>
    <w:p w14:paraId="0BB1ABA9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数据保留：数据保留期限设置（天数）</w:t>
      </w:r>
    </w:p>
    <w:p w14:paraId="6688FC63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1F2329"/>
          <w:sz w:val="32"/>
          <w:szCs w:val="32"/>
        </w:rPr>
      </w:pPr>
      <w:r>
        <w:rPr>
          <w:color w:val="1F2329"/>
          <w:sz w:val="32"/>
          <w:szCs w:val="32"/>
        </w:rPr>
        <w:t>操作功能：保存配置、重置</w:t>
      </w:r>
    </w:p>
    <w:p w14:paraId="56A3BFBA">
      <w:r>
        <w:drawing>
          <wp:inline distT="0" distB="0" distL="114300" distR="114300">
            <wp:extent cx="5258435" cy="2520950"/>
            <wp:effectExtent l="0" t="0" r="24765" b="1905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8FD25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A5980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1FB777"/>
    <w:multiLevelType w:val="multilevel"/>
    <w:tmpl w:val="931FB7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7BDB10F"/>
    <w:multiLevelType w:val="multilevel"/>
    <w:tmpl w:val="B7BDB10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7EDC378"/>
    <w:multiLevelType w:val="multilevel"/>
    <w:tmpl w:val="B7EDC3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9FD14F3"/>
    <w:multiLevelType w:val="multilevel"/>
    <w:tmpl w:val="B9FD14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ADB0620"/>
    <w:multiLevelType w:val="multilevel"/>
    <w:tmpl w:val="BADB06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BD6FE291"/>
    <w:multiLevelType w:val="multilevel"/>
    <w:tmpl w:val="BD6FE2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C3E3B4B9"/>
    <w:multiLevelType w:val="multilevel"/>
    <w:tmpl w:val="C3E3B4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CFFFAF95"/>
    <w:multiLevelType w:val="multilevel"/>
    <w:tmpl w:val="CFFFAF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DEFC9F0E"/>
    <w:multiLevelType w:val="multilevel"/>
    <w:tmpl w:val="DEFC9F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7DFAB32"/>
    <w:multiLevelType w:val="multilevel"/>
    <w:tmpl w:val="E7DFAB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EAFE10DF"/>
    <w:multiLevelType w:val="multilevel"/>
    <w:tmpl w:val="EAFE10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B7DD9A2"/>
    <w:multiLevelType w:val="multilevel"/>
    <w:tmpl w:val="EB7DD9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FBF743C"/>
    <w:multiLevelType w:val="multilevel"/>
    <w:tmpl w:val="EFBF74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F574832C"/>
    <w:multiLevelType w:val="multilevel"/>
    <w:tmpl w:val="F57483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62CD6A1"/>
    <w:multiLevelType w:val="multilevel"/>
    <w:tmpl w:val="F62CD6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7726EC5"/>
    <w:multiLevelType w:val="multilevel"/>
    <w:tmpl w:val="F7726E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7E74FFC"/>
    <w:multiLevelType w:val="multilevel"/>
    <w:tmpl w:val="F7E74F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7FBB4E8"/>
    <w:multiLevelType w:val="multilevel"/>
    <w:tmpl w:val="F7FBB4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F7FF3C32"/>
    <w:multiLevelType w:val="multilevel"/>
    <w:tmpl w:val="F7FF3C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FBF4B71D"/>
    <w:multiLevelType w:val="multilevel"/>
    <w:tmpl w:val="FBF4B71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FCFE2CC5"/>
    <w:multiLevelType w:val="multilevel"/>
    <w:tmpl w:val="FCFE2C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FF6F7580"/>
    <w:multiLevelType w:val="multilevel"/>
    <w:tmpl w:val="FF6F75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FF771255"/>
    <w:multiLevelType w:val="multilevel"/>
    <w:tmpl w:val="FF7712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FFD69F84"/>
    <w:multiLevelType w:val="multilevel"/>
    <w:tmpl w:val="FFD69F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FFDF3488"/>
    <w:multiLevelType w:val="multilevel"/>
    <w:tmpl w:val="FFDF348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FFEBC414"/>
    <w:multiLevelType w:val="multilevel"/>
    <w:tmpl w:val="FFEBC4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FFFB3222"/>
    <w:multiLevelType w:val="multilevel"/>
    <w:tmpl w:val="FFFB32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0DFE8FCB"/>
    <w:multiLevelType w:val="multilevel"/>
    <w:tmpl w:val="0DFE8F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3BFCC322"/>
    <w:multiLevelType w:val="multilevel"/>
    <w:tmpl w:val="3BFCC3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5AEF087C"/>
    <w:multiLevelType w:val="multilevel"/>
    <w:tmpl w:val="5AEF08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5BD73163"/>
    <w:multiLevelType w:val="multilevel"/>
    <w:tmpl w:val="5BD731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6A7ED1D3"/>
    <w:multiLevelType w:val="multilevel"/>
    <w:tmpl w:val="6A7ED1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793E72C5"/>
    <w:multiLevelType w:val="multilevel"/>
    <w:tmpl w:val="793E72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7DDF5413"/>
    <w:multiLevelType w:val="multilevel"/>
    <w:tmpl w:val="7DDF54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6"/>
  </w:num>
  <w:num w:numId="2">
    <w:abstractNumId w:val="31"/>
  </w:num>
  <w:num w:numId="3">
    <w:abstractNumId w:val="0"/>
  </w:num>
  <w:num w:numId="4">
    <w:abstractNumId w:val="3"/>
  </w:num>
  <w:num w:numId="5">
    <w:abstractNumId w:val="8"/>
  </w:num>
  <w:num w:numId="6">
    <w:abstractNumId w:val="27"/>
  </w:num>
  <w:num w:numId="7">
    <w:abstractNumId w:val="22"/>
  </w:num>
  <w:num w:numId="8">
    <w:abstractNumId w:val="30"/>
  </w:num>
  <w:num w:numId="9">
    <w:abstractNumId w:val="15"/>
  </w:num>
  <w:num w:numId="10">
    <w:abstractNumId w:val="13"/>
  </w:num>
  <w:num w:numId="11">
    <w:abstractNumId w:val="29"/>
  </w:num>
  <w:num w:numId="12">
    <w:abstractNumId w:val="17"/>
  </w:num>
  <w:num w:numId="13">
    <w:abstractNumId w:val="33"/>
  </w:num>
  <w:num w:numId="14">
    <w:abstractNumId w:val="14"/>
  </w:num>
  <w:num w:numId="15">
    <w:abstractNumId w:val="2"/>
  </w:num>
  <w:num w:numId="16">
    <w:abstractNumId w:val="32"/>
  </w:num>
  <w:num w:numId="17">
    <w:abstractNumId w:val="11"/>
  </w:num>
  <w:num w:numId="18">
    <w:abstractNumId w:val="26"/>
  </w:num>
  <w:num w:numId="19">
    <w:abstractNumId w:val="10"/>
  </w:num>
  <w:num w:numId="20">
    <w:abstractNumId w:val="28"/>
  </w:num>
  <w:num w:numId="21">
    <w:abstractNumId w:val="23"/>
  </w:num>
  <w:num w:numId="22">
    <w:abstractNumId w:val="6"/>
  </w:num>
  <w:num w:numId="23">
    <w:abstractNumId w:val="7"/>
  </w:num>
  <w:num w:numId="24">
    <w:abstractNumId w:val="20"/>
  </w:num>
  <w:num w:numId="25">
    <w:abstractNumId w:val="18"/>
  </w:num>
  <w:num w:numId="26">
    <w:abstractNumId w:val="9"/>
  </w:num>
  <w:num w:numId="27">
    <w:abstractNumId w:val="19"/>
  </w:num>
  <w:num w:numId="28">
    <w:abstractNumId w:val="25"/>
  </w:num>
  <w:num w:numId="29">
    <w:abstractNumId w:val="24"/>
  </w:num>
  <w:num w:numId="30">
    <w:abstractNumId w:val="1"/>
  </w:num>
  <w:num w:numId="31">
    <w:abstractNumId w:val="5"/>
  </w:num>
  <w:num w:numId="32">
    <w:abstractNumId w:val="4"/>
  </w:num>
  <w:num w:numId="33">
    <w:abstractNumId w:val="12"/>
  </w:num>
  <w:num w:numId="3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5FF4D174"/>
    <w:rsid w:val="7FE787CC"/>
    <w:rsid w:val="DBFD6C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center"/>
    </w:pPr>
    <w:rPr>
      <w:rFonts w:asciiTheme="minorAscii" w:hAnsiTheme="minorAsci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uiPriority w:val="0"/>
    <w:pPr>
      <w:ind w:left="840" w:leftChars="400"/>
    </w:pPr>
  </w:style>
  <w:style w:type="paragraph" w:styleId="8">
    <w:name w:val="toc 1"/>
    <w:basedOn w:val="1"/>
    <w:next w:val="1"/>
    <w:uiPriority w:val="0"/>
  </w:style>
  <w:style w:type="paragraph" w:styleId="9">
    <w:name w:val="toc 2"/>
    <w:basedOn w:val="1"/>
    <w:next w:val="1"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36</Pages>
  <TotalTime>2</TotalTime>
  <ScaleCrop>false</ScaleCrop>
  <LinksUpToDate>false</LinksUpToDate>
  <Application>WPS Office_12.1.25201.25201_F1E327BC-269C-435d-A152-05C5408002CA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2026-03-04T06:28:00Z</dcterms:created>
  <dc:creator>Apache POI</dc:creator>
  <cp:lastModifiedBy>许育铭</cp:lastModifiedBy>
  <dcterms:modified xsi:type="dcterms:W3CDTF">2026-03-03T17:40:48Z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6B929DAF5BB9A1A9079BA669AB96C780_42</vt:lpwstr>
  </property>
</Properties>
</file>