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0"/>
        <w:gridCol w:w="1420"/>
      </w:tblGrid>
      <w:tr w14:paraId="1B5AE57D">
        <w:trPr>
          <w:trHeight w:val="156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4B1342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0EBBB4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15E4E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模块/工作包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33D31D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金额（万元）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23F8B3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大数据+AI功能描述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 w14:paraId="45BF2B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证据链材料映射</w:t>
            </w:r>
          </w:p>
        </w:tc>
      </w:tr>
      <w:tr w14:paraId="114061BB">
        <w:trPr>
          <w:trHeight w:val="780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DF2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模块汇总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7D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594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行业大模型训练与企业级智能对话应用构建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5A2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3A2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构建覆盖金融、电商、政务、医疗四行业的智能对话核心能力，形成可私有化部署的企业级软件资产，支持多轮对话、知识增强生成、合规应答与业务协同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5C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1、开工报告；2、实施方案；3、软件开发阶段现场照片；4、实施沟通记录凭证；5、联调测试报告；6、竣工报告；7、上线测试记录；8、需求说明书；9、软件操作手册；10、交付成果照片；11、客户初验报告</w:t>
            </w:r>
          </w:p>
        </w:tc>
      </w:tr>
      <w:tr w14:paraId="4120B509">
        <w:trPr>
          <w:trHeight w:val="438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689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CF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M1-01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046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语料工程与行业样本资产体系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987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6F1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建立跨行业语料工程流水线与样本资产体系，实现数据规范化处理、结构化沉淀与可追溯管理，为模型训练提供高质量输入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288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4、实施沟通记录凭证；5、联调测试报告；8、需求说明书；10、交付成果照片</w:t>
            </w:r>
          </w:p>
        </w:tc>
      </w:tr>
      <w:tr w14:paraId="03694D25">
        <w:trPr>
          <w:trHeight w:val="406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9E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124E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M1-02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A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行业适配训练、效果验证与集成验证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47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8C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以行业适配训练为核心，完成效果验证与系统级集成验证，支撑智能对话能力在业务系统中稳定运行与交付验收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D7C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4、实施沟通记录凭证；5、联调测试报告；8、需求说明书；10、交付成果照片</w:t>
            </w:r>
          </w:p>
        </w:tc>
      </w:tr>
      <w:tr w14:paraId="61203774">
        <w:trPr>
          <w:trHeight w:val="532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D1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模块汇总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B51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E6E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大数据治理与合规数据资产底座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B2C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D24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构建企业级数据治理能力：多源接入、清洗标准、脱敏合规、质量统计与知识资产管理，为AI训练与业务应用提供可用、可信、可审计的数据底座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3B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2、实施方案；4、实施沟通记录凭证；5、联调测试报告；6、竣工报告；8、需求说明书；9、软件操作手册；10、交付成果照片；11、客户初验报告</w:t>
            </w:r>
          </w:p>
        </w:tc>
      </w:tr>
      <w:tr w14:paraId="42CC9F22">
        <w:trPr>
          <w:trHeight w:val="376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72B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DBE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M2-01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DA8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多源数据接入、台账与标准化处理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BF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35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完成四行业数据接入与标准化处理能力建设，实现数据来源可追溯、结构可统一、可用于训练与统计分析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050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2、实施方案；4、实施沟通记录凭证；8、需求说明书；5、联调测试报告</w:t>
            </w:r>
          </w:p>
        </w:tc>
      </w:tr>
      <w:tr w14:paraId="20B62A04">
        <w:trPr>
          <w:trHeight w:val="344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3A6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D2BD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M2-02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4D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脱敏合规、质量统计与知识管理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80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678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建立敏感数据保护与质量统计机制，形成知识资产管理能力，支撑模型知识增强与业务可解释交付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317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2、实施方案；4、实施沟通记录凭证；8、需求说明书；5、联调测试报告</w:t>
            </w:r>
          </w:p>
        </w:tc>
      </w:tr>
      <w:tr w14:paraId="63A54920">
        <w:trPr>
          <w:trHeight w:val="468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40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模块汇总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09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9EF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数据生产质控 + AI训练调优与算力投入一体化闭环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076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659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将数据生产质控、训练调优与效果验证融合为一体化闭环，形成可规模化复用的训练工艺与交付能力，聚焦模型能力提升与稳定交付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B893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2、实施方案；4、实施沟通记录凭证；5、联调测试报告；6、竣工报告</w:t>
            </w:r>
          </w:p>
        </w:tc>
      </w:tr>
      <w:tr w14:paraId="705EFBE8">
        <w:trPr>
          <w:trHeight w:val="376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A4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8B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M3-01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32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内部标注生产、抽检返工与质控闭环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1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CA0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内部完成四行业标注生产与质控闭环，确保训练数据一致性与可用性，为模型训练提供稳定高质量数据供给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DC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</w:t>
            </w:r>
          </w:p>
        </w:tc>
      </w:tr>
      <w:tr w14:paraId="7DF39350">
        <w:trPr>
          <w:trHeight w:val="344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85B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74B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M3-02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32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训练资源投入、调优支持与效果验证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6B9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15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使用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算力平台完成训练资源投入与调优支持，输出训练效果验证结论，支撑交付验收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89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</w:t>
            </w:r>
          </w:p>
        </w:tc>
      </w:tr>
      <w:tr w14:paraId="7B184927">
        <w:trPr>
          <w:trHeight w:val="780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5DF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模块汇总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6C9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3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业务中台与四行业场景化交付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E6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E87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构建任务编排、调度统计、合规风控、规则配置等中台能力，完成四行业场景化配置与验收交付，确保客户可运营、可持续迭代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C13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1、开工报告；2、实施方案；3、软件开发阶段现场照片；4、实施沟通记录凭证；5、联调测试报告；6、竣工报告；7、上线测试记录；8、需求说明书；9、软件操作手册；10、交付成果照片；11、客户初验报告</w:t>
            </w:r>
          </w:p>
        </w:tc>
      </w:tr>
      <w:tr w14:paraId="43DBFFB9">
        <w:trPr>
          <w:trHeight w:val="312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184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2D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M4-01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3E8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中台能力配置交付（任务/调度/合规/规则）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CA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63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以配置化方式完成中台核心能力交付，支持四行业多场景统一管理与可控运营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72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4、实施沟通记录凭证；5、联调测试报告；9、软件操作手册；10、交付成果照片</w:t>
            </w:r>
          </w:p>
        </w:tc>
      </w:tr>
      <w:tr w14:paraId="37D9A332">
        <w:trPr>
          <w:trHeight w:val="312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F4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明细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0D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M4-02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9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四行业场景交付与上线验收支撑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6A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810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完成四行业场景化交付与验收支撑材料，形成可复制的交付模板与演示成果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3E7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4、实施沟通记录凭证；5、联调测试报告；9、软件操作手册；10、交付成果照片</w:t>
            </w:r>
          </w:p>
        </w:tc>
      </w:tr>
      <w:tr w14:paraId="75C00226">
        <w:trPr>
          <w:trHeight w:val="4680" w:hRule="atLeast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02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F49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4A4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项目总计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04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70F9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训练为核心、数据治理为底座、训练闭环为抓手、中台交付为落地，形成可审计、可交付、可运营的企业级智能对话中台软件能力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3B8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1DC923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FF4748"/>
    <w:rsid w:val="27385D15"/>
    <w:rsid w:val="8FF38859"/>
    <w:rsid w:val="CBFF4748"/>
    <w:rsid w:val="DFBF6DEC"/>
    <w:rsid w:val="EBFB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2026-02-27T21:29:00Z</dcterms:created>
  <dc:creator>许育铭</dc:creator>
  <cp:lastModifiedBy>许育铭</cp:lastModifiedBy>
  <dcterms:modified xsi:type="dcterms:W3CDTF">2026-02-27T15:54:12Z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1B4D44584E3C6E0EA44DA169DBF50D4D_43</vt:lpwstr>
  </property>
</Properties>
</file>