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Rami Al Karmi is a futurist who formulates a 10X leapfrog future state vision, designs the transformation architecture and operating model required to make it possible, then executes until it becomes reality. He is CEO of UMMA AI, a QFC company focused on engineered augmented intelligence, and President’s Assistant for Innovation at Al Hussein Technical University (HTU). At HTU, he oversees the D.Learn Center, whose flagship HTUx.org serves nearly 19,000 learners through six month long accelerated learning pathways, and TheCore, HTU’s venturing arm, which turns the University’s talent, research and innovation ecosystem into a pipeline of venture opportunities. Rami also designed and leads 9XAI, NCFT’s National Initiative for Next Level Expertise in AI, hosted and implemented by HTU. As cofounder of Wafra Business, he designed and implemented AI EdLeap across schools, reimagining K12 education for a world where intelligence is becoming abundant and shifting the question from how schools use AI as a tool , to what schools, learning and human potential should become because AI exists. He also serves on the Central Bank of Jordan’s Steering Committee on AI and Future Technologies in Finance.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