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2"/>
          <w:szCs w:val="32"/>
        </w:rPr>
        <w:t xml:space="preserve">Arquitectura del Sistema</w:t>
      </w:r>
    </w:p>
    <w:p>
      <w:pPr>
        <w:spacing w:after="320" w:line="276"/>
        <w:jc w:val="center"/>
      </w:pPr>
      <w:r>
        <w:rPr>
          <w:rFonts w:ascii="Calibri" w:cs="Calibri" w:eastAsia="Calibri" w:hAnsi="Calibri"/>
          <w:b/>
          <w:bCs/>
          <w:sz w:val="22"/>
          <w:szCs w:val="22"/>
        </w:rPr>
        <w:t xml:space="preserve">Proyecto WorkIn — PTY4614 Capstone</w:t>
      </w:r>
    </w:p>
    <w:p>
      <w:pPr>
        <w:spacing w:after="150" w:before="320"/>
      </w:pPr>
      <w:r>
        <w:rPr>
          <w:rFonts w:ascii="Calibri" w:cs="Calibri" w:eastAsia="Calibri" w:hAnsi="Calibri"/>
          <w:b/>
          <w:bCs/>
          <w:sz w:val="26"/>
          <w:szCs w:val="26"/>
        </w:rPr>
        <w:t xml:space="preserve">1. Propósito</w:t>
      </w:r>
    </w:p>
    <w:p>
      <w:pPr>
        <w:spacing w:after="160" w:line="276"/>
      </w:pPr>
      <w:r>
        <w:rPr>
          <w:rFonts w:ascii="Calibri" w:cs="Calibri" w:eastAsia="Calibri" w:hAnsi="Calibri"/>
          <w:sz w:val="22"/>
          <w:szCs w:val="22"/>
        </w:rPr>
        <w:t xml:space="preserve">Este documento define la arquitectura sobre la que se construirá WorkIn. Describe las capas del sistema, las tecnologías escogidas, los aspectos que atraviesan toda la solución y las restricciones del entorno de despliegue.</w:t>
      </w:r>
    </w:p>
    <w:p>
      <w:pPr>
        <w:spacing w:after="150" w:before="320"/>
      </w:pPr>
      <w:r>
        <w:rPr>
          <w:rFonts w:ascii="Calibri" w:cs="Calibri" w:eastAsia="Calibri" w:hAnsi="Calibri"/>
          <w:b/>
          <w:bCs/>
          <w:sz w:val="26"/>
          <w:szCs w:val="26"/>
        </w:rPr>
        <w:t xml:space="preserve">2. Decisiones tecnológicas</w:t>
      </w:r>
    </w:p>
    <w:p>
      <w:pPr>
        <w:spacing w:after="160" w:line="276"/>
      </w:pPr>
      <w:r>
        <w:rPr>
          <w:rFonts w:ascii="Calibri" w:cs="Calibri" w:eastAsia="Calibri" w:hAnsi="Calibri"/>
          <w:sz w:val="22"/>
          <w:szCs w:val="22"/>
        </w:rPr>
        <w:t xml:space="preserve">Las siguientes definiciones fueron adoptadas por el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5200"/>
      </w:tblGrid>
      <w:tr>
        <w:trPr>
          <w:tblHeader/>
        </w:trPr>
        <w:tc>
          <w:tcPr>
            <w:tcW w:type="dxa" w:w="2600"/>
            <w:shd w:fill="1F4E79"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Componente</w:t>
            </w:r>
          </w:p>
        </w:tc>
        <w:tc>
          <w:tcPr>
            <w:tcW w:type="dxa" w:w="3200"/>
            <w:shd w:fill="1F4E79"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Tecnología</w:t>
            </w:r>
          </w:p>
        </w:tc>
        <w:tc>
          <w:tcPr>
            <w:tcW w:type="dxa" w:w="5200"/>
            <w:shd w:fill="1F4E79"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Justificación</w:t>
            </w:r>
          </w:p>
        </w:tc>
      </w:tr>
      <w:tr>
        <w:tc>
          <w:tcPr>
            <w:tcW w:type="dxa" w:w="2000"/>
            <w:shd w:fill="F2F2F2" w:color="auto" w:val="clear"/>
            <w:tcMar>
              <w:top w:type="dxa" w:w="70"/>
              <w:left w:type="dxa" w:w="100"/>
              <w:bottom w:type="dxa" w:w="70"/>
              <w:right w:type="dxa" w:w="100"/>
            </w:tcMar>
          </w:tcPr>
          <w:p>
            <w:pPr>
              <w:spacing w:after="0" w:line="250"/>
            </w:pPr>
            <w:r>
              <w:rPr>
                <w:rFonts w:ascii="Calibri" w:cs="Calibri" w:eastAsia="Calibri" w:hAnsi="Calibri"/>
                <w:b/>
                <w:bCs/>
                <w:sz w:val="19"/>
                <w:szCs w:val="19"/>
              </w:rPr>
              <w:t xml:space="preserve">Interfaz de usuario</w:t>
            </w:r>
          </w:p>
        </w:tc>
        <w:tc>
          <w:tcPr>
            <w:tcW w:type="dxa" w:w="2000"/>
            <w:tcMar>
              <w:top w:type="dxa" w:w="70"/>
              <w:left w:type="dxa" w:w="100"/>
              <w:bottom w:type="dxa" w:w="70"/>
              <w:right w:type="dxa" w:w="100"/>
            </w:tcMar>
          </w:tcPr>
          <w:p>
            <w:pPr>
              <w:spacing w:after="0" w:line="250"/>
            </w:pPr>
            <w:r>
              <w:rPr>
                <w:rFonts w:ascii="Calibri" w:cs="Calibri" w:eastAsia="Calibri" w:hAnsi="Calibri"/>
                <w:sz w:val="19"/>
                <w:szCs w:val="19"/>
              </w:rPr>
              <w:t xml:space="preserve">React</w:t>
            </w:r>
          </w:p>
        </w:tc>
        <w:tc>
          <w:tcPr>
            <w:tcW w:type="dxa" w:w="2000"/>
            <w:tcMar>
              <w:top w:type="dxa" w:w="70"/>
              <w:left w:type="dxa" w:w="100"/>
              <w:bottom w:type="dxa" w:w="70"/>
              <w:right w:type="dxa" w:w="100"/>
            </w:tcMar>
          </w:tcPr>
          <w:p>
            <w:pPr>
              <w:spacing w:after="0" w:line="250"/>
            </w:pPr>
            <w:r>
              <w:rPr>
                <w:rFonts w:ascii="Calibri" w:cs="Calibri" w:eastAsia="Calibri" w:hAnsi="Calibri"/>
                <w:sz w:val="19"/>
                <w:szCs w:val="19"/>
              </w:rPr>
              <w:t xml:space="preserve">Permite una única aplicación para los tres perfiles, accesible desde navegador web y desde teléfono, según lo requerido en E.4 de la entrevista.</w:t>
            </w:r>
          </w:p>
        </w:tc>
      </w:tr>
      <w:tr>
        <w:tc>
          <w:tcPr>
            <w:tcW w:type="dxa" w:w="2000"/>
            <w:shd w:fill="F2F2F2" w:color="auto" w:val="clear"/>
            <w:tcMar>
              <w:top w:type="dxa" w:w="70"/>
              <w:left w:type="dxa" w:w="100"/>
              <w:bottom w:type="dxa" w:w="70"/>
              <w:right w:type="dxa" w:w="100"/>
            </w:tcMar>
          </w:tcPr>
          <w:p>
            <w:pPr>
              <w:spacing w:after="0" w:line="250"/>
            </w:pPr>
            <w:r>
              <w:rPr>
                <w:rFonts w:ascii="Calibri" w:cs="Calibri" w:eastAsia="Calibri" w:hAnsi="Calibri"/>
                <w:b/>
                <w:bCs/>
                <w:sz w:val="19"/>
                <w:szCs w:val="19"/>
              </w:rPr>
              <w:t xml:space="preserve">Lógica de negocio y API</w:t>
            </w:r>
          </w:p>
        </w:tc>
        <w:tc>
          <w:tcPr>
            <w:tcW w:type="dxa" w:w="2000"/>
            <w:tcMar>
              <w:top w:type="dxa" w:w="70"/>
              <w:left w:type="dxa" w:w="100"/>
              <w:bottom w:type="dxa" w:w="70"/>
              <w:right w:type="dxa" w:w="100"/>
            </w:tcMar>
          </w:tcPr>
          <w:p>
            <w:pPr>
              <w:spacing w:after="0" w:line="250"/>
            </w:pPr>
            <w:r>
              <w:rPr>
                <w:rFonts w:ascii="Calibri" w:cs="Calibri" w:eastAsia="Calibri" w:hAnsi="Calibri"/>
                <w:sz w:val="19"/>
                <w:szCs w:val="19"/>
              </w:rPr>
              <w:t xml:space="preserve">Laravel (PHP 8.3)</w:t>
            </w:r>
          </w:p>
        </w:tc>
        <w:tc>
          <w:tcPr>
            <w:tcW w:type="dxa" w:w="2000"/>
            <w:tcMar>
              <w:top w:type="dxa" w:w="70"/>
              <w:left w:type="dxa" w:w="100"/>
              <w:bottom w:type="dxa" w:w="70"/>
              <w:right w:type="dxa" w:w="100"/>
            </w:tcMar>
          </w:tcPr>
          <w:p>
            <w:pPr>
              <w:spacing w:after="0" w:line="250"/>
            </w:pPr>
            <w:r>
              <w:rPr>
                <w:rFonts w:ascii="Calibri" w:cs="Calibri" w:eastAsia="Calibri" w:hAnsi="Calibri"/>
                <w:sz w:val="19"/>
                <w:szCs w:val="19"/>
              </w:rPr>
              <w:t xml:space="preserve">Framework con ORM, sistema de migraciones y mecanismos de autenticación y observadores que facilitan implementar el historial de auditoría.</w:t>
            </w:r>
          </w:p>
        </w:tc>
      </w:tr>
      <w:tr>
        <w:tc>
          <w:tcPr>
            <w:tcW w:type="dxa" w:w="2000"/>
            <w:shd w:fill="F2F2F2" w:color="auto" w:val="clear"/>
            <w:tcMar>
              <w:top w:type="dxa" w:w="70"/>
              <w:left w:type="dxa" w:w="100"/>
              <w:bottom w:type="dxa" w:w="70"/>
              <w:right w:type="dxa" w:w="100"/>
            </w:tcMar>
          </w:tcPr>
          <w:p>
            <w:pPr>
              <w:spacing w:after="0" w:line="250"/>
            </w:pPr>
            <w:r>
              <w:rPr>
                <w:rFonts w:ascii="Calibri" w:cs="Calibri" w:eastAsia="Calibri" w:hAnsi="Calibri"/>
                <w:b/>
                <w:bCs/>
                <w:sz w:val="19"/>
                <w:szCs w:val="19"/>
              </w:rPr>
              <w:t xml:space="preserve">Base de datos</w:t>
            </w:r>
          </w:p>
        </w:tc>
        <w:tc>
          <w:tcPr>
            <w:tcW w:type="dxa" w:w="2000"/>
            <w:tcMar>
              <w:top w:type="dxa" w:w="70"/>
              <w:left w:type="dxa" w:w="100"/>
              <w:bottom w:type="dxa" w:w="70"/>
              <w:right w:type="dxa" w:w="100"/>
            </w:tcMar>
          </w:tcPr>
          <w:p>
            <w:pPr>
              <w:spacing w:after="0" w:line="250"/>
            </w:pPr>
            <w:r>
              <w:rPr>
                <w:rFonts w:ascii="Calibri" w:cs="Calibri" w:eastAsia="Calibri" w:hAnsi="Calibri"/>
                <w:sz w:val="19"/>
                <w:szCs w:val="19"/>
              </w:rPr>
              <w:t xml:space="preserve">MariaDB 10.11, utf8mb4, InnoDB</w:t>
            </w:r>
          </w:p>
        </w:tc>
        <w:tc>
          <w:tcPr>
            <w:tcW w:type="dxa" w:w="2000"/>
            <w:tcMar>
              <w:top w:type="dxa" w:w="70"/>
              <w:left w:type="dxa" w:w="100"/>
              <w:bottom w:type="dxa" w:w="70"/>
              <w:right w:type="dxa" w:w="100"/>
            </w:tcMar>
          </w:tcPr>
          <w:p>
            <w:pPr>
              <w:spacing w:after="0" w:line="250"/>
            </w:pPr>
            <w:r>
              <w:rPr>
                <w:rFonts w:ascii="Calibri" w:cs="Calibri" w:eastAsia="Calibri" w:hAnsi="Calibri"/>
                <w:sz w:val="19"/>
                <w:szCs w:val="19"/>
              </w:rPr>
              <w:t xml:space="preserve">Motor relacional compatible con el alojamiento contratado. InnoDB permite claves foráneas y transacciones; utf8mb4 asegura el correcto almacenamiento de tildes y caracteres especiales.</w:t>
            </w:r>
          </w:p>
        </w:tc>
      </w:tr>
      <w:tr>
        <w:tc>
          <w:tcPr>
            <w:tcW w:type="dxa" w:w="2000"/>
            <w:shd w:fill="F2F2F2" w:color="auto" w:val="clear"/>
            <w:tcMar>
              <w:top w:type="dxa" w:w="70"/>
              <w:left w:type="dxa" w:w="100"/>
              <w:bottom w:type="dxa" w:w="70"/>
              <w:right w:type="dxa" w:w="100"/>
            </w:tcMar>
          </w:tcPr>
          <w:p>
            <w:pPr>
              <w:spacing w:after="0" w:line="250"/>
            </w:pPr>
            <w:r>
              <w:rPr>
                <w:rFonts w:ascii="Calibri" w:cs="Calibri" w:eastAsia="Calibri" w:hAnsi="Calibri"/>
                <w:b/>
                <w:bCs/>
                <w:sz w:val="19"/>
                <w:szCs w:val="19"/>
              </w:rPr>
              <w:t xml:space="preserve">Alojamiento</w:t>
            </w:r>
          </w:p>
        </w:tc>
        <w:tc>
          <w:tcPr>
            <w:tcW w:type="dxa" w:w="2000"/>
            <w:tcMar>
              <w:top w:type="dxa" w:w="70"/>
              <w:left w:type="dxa" w:w="100"/>
              <w:bottom w:type="dxa" w:w="70"/>
              <w:right w:type="dxa" w:w="100"/>
            </w:tcMar>
          </w:tcPr>
          <w:p>
            <w:pPr>
              <w:spacing w:after="0" w:line="250"/>
            </w:pPr>
            <w:r>
              <w:rPr>
                <w:rFonts w:ascii="Calibri" w:cs="Calibri" w:eastAsia="Calibri" w:hAnsi="Calibri"/>
                <w:sz w:val="19"/>
                <w:szCs w:val="19"/>
              </w:rPr>
              <w:t xml:space="preserve">Servidor compartido administrado con cPanel</w:t>
            </w:r>
          </w:p>
        </w:tc>
        <w:tc>
          <w:tcPr>
            <w:tcW w:type="dxa" w:w="2000"/>
            <w:tcMar>
              <w:top w:type="dxa" w:w="70"/>
              <w:left w:type="dxa" w:w="100"/>
              <w:bottom w:type="dxa" w:w="70"/>
              <w:right w:type="dxa" w:w="100"/>
            </w:tcMar>
          </w:tcPr>
          <w:p>
            <w:pPr>
              <w:spacing w:after="0" w:line="250"/>
            </w:pPr>
            <w:r>
              <w:rPr>
                <w:rFonts w:ascii="Calibri" w:cs="Calibri" w:eastAsia="Calibri" w:hAnsi="Calibri"/>
                <w:sz w:val="19"/>
                <w:szCs w:val="19"/>
              </w:rPr>
              <w:t xml:space="preserve">Entorno ya disponible para el equipo, con servidor web Apache, PHP y base de datos incluidos.</w:t>
            </w:r>
          </w:p>
        </w:tc>
      </w:tr>
    </w:tbl>
    <w:p>
      <w:pPr>
        <w:spacing w:after="150" w:before="320"/>
      </w:pPr>
      <w:r>
        <w:rPr>
          <w:rFonts w:ascii="Calibri" w:cs="Calibri" w:eastAsia="Calibri" w:hAnsi="Calibri"/>
          <w:b/>
          <w:bCs/>
          <w:sz w:val="26"/>
          <w:szCs w:val="26"/>
        </w:rPr>
        <w:t xml:space="preserve">3. Estilo arquitectónico</w:t>
      </w:r>
    </w:p>
    <w:p>
      <w:pPr>
        <w:spacing w:after="160" w:line="276"/>
      </w:pPr>
      <w:r>
        <w:rPr>
          <w:rFonts w:ascii="Calibri" w:cs="Calibri" w:eastAsia="Calibri" w:hAnsi="Calibri"/>
          <w:sz w:val="22"/>
          <w:szCs w:val="22"/>
        </w:rPr>
        <w:t xml:space="preserve">La solución adopta una arquitectura cliente-servidor organizada en tres capas, con comunicación mediante una API REST. La separación entre el cliente y el servidor permite que la misma interfaz se utilice desde computador y desde teléfono sin duplicar el desarrollo, y que la lógica de negocio quede concentrada en un solo lugar.</w:t>
      </w:r>
    </w:p>
    <w:p>
      <w:pPr>
        <w:spacing w:after="90" w:before="240"/>
      </w:pPr>
      <w:r>
        <w:rPr>
          <w:rFonts w:ascii="Calibri" w:cs="Calibri" w:eastAsia="Calibri" w:hAnsi="Calibri"/>
          <w:b/>
          <w:bCs/>
          <w:sz w:val="23"/>
          <w:szCs w:val="23"/>
        </w:rPr>
        <w:t xml:space="preserve">3.1 Capa de presentación</w:t>
      </w:r>
    </w:p>
    <w:p>
      <w:pPr>
        <w:spacing w:after="160" w:line="276"/>
      </w:pPr>
      <w:r>
        <w:rPr>
          <w:rFonts w:ascii="Calibri" w:cs="Calibri" w:eastAsia="Calibri" w:hAnsi="Calibri"/>
          <w:sz w:val="22"/>
          <w:szCs w:val="22"/>
        </w:rPr>
        <w:t xml:space="preserve">Aplicación desarrollada en React que se ejecuta en el navegador del usuario. Presenta vistas diferenciadas según el perfil: el trabajador accede a su marcaje y a su historial, el encargado a la publicación de turnos y a la toma de asistencia, y el administrador a la liquidación de los períodos.</w:t>
      </w:r>
    </w:p>
    <w:p>
      <w:pPr>
        <w:spacing w:after="160" w:line="276"/>
      </w:pPr>
      <w:r>
        <w:rPr>
          <w:rFonts w:ascii="Calibri" w:cs="Calibri" w:eastAsia="Calibri" w:hAnsi="Calibri"/>
          <w:sz w:val="22"/>
          <w:szCs w:val="22"/>
        </w:rPr>
        <w:t xml:space="preserve">El marcaje de asistencia utiliza la cámara del dispositivo para leer el código QR. Esta funcionalidad opera en línea, condición viable dado que, según C.7 de la entrevista, el lugar de trabajo cuenta con cobertura de datos óptima.</w:t>
      </w:r>
    </w:p>
    <w:p>
      <w:pPr>
        <w:spacing w:after="160" w:line="276"/>
      </w:pPr>
      <w:r>
        <w:rPr>
          <w:rFonts w:ascii="Calibri" w:cs="Calibri" w:eastAsia="Calibri" w:hAnsi="Calibri"/>
          <w:sz w:val="22"/>
          <w:szCs w:val="22"/>
        </w:rPr>
        <w:t xml:space="preserve">Esta capa no contiene reglas de negocio ni accede directamente a la base de datos: toda operación se realiza mediante llamadas a la API.</w:t>
      </w:r>
    </w:p>
    <w:p>
      <w:pPr>
        <w:spacing w:after="90" w:before="240"/>
      </w:pPr>
      <w:r>
        <w:rPr>
          <w:rFonts w:ascii="Calibri" w:cs="Calibri" w:eastAsia="Calibri" w:hAnsi="Calibri"/>
          <w:b/>
          <w:bCs/>
          <w:sz w:val="23"/>
          <w:szCs w:val="23"/>
        </w:rPr>
        <w:t xml:space="preserve">3.2 Capa de aplicación</w:t>
      </w:r>
    </w:p>
    <w:p>
      <w:pPr>
        <w:spacing w:after="160" w:line="276"/>
      </w:pPr>
      <w:r>
        <w:rPr>
          <w:rFonts w:ascii="Calibri" w:cs="Calibri" w:eastAsia="Calibri" w:hAnsi="Calibri"/>
          <w:sz w:val="22"/>
          <w:szCs w:val="22"/>
        </w:rPr>
        <w:t xml:space="preserve">Corresponde a la API REST construida con Laravel, alojada en el servidor. Se organiza internamente en los siguientes niveles:</w:t>
      </w:r>
    </w:p>
    <w:p>
      <w:pPr>
        <w:pStyle w:val="ListParagraph"/>
        <w:numPr>
          <w:ilvl w:val="0"/>
          <w:numId w:val="1"/>
        </w:numPr>
        <w:spacing w:after="90" w:line="276"/>
      </w:pPr>
      <w:r>
        <w:rPr>
          <w:rFonts w:ascii="Calibri" w:cs="Calibri" w:eastAsia="Calibri" w:hAnsi="Calibri"/>
          <w:sz w:val="22"/>
          <w:szCs w:val="22"/>
        </w:rPr>
        <w:t xml:space="preserve">Rutas y controladores: reciben las solicitudes del cliente y devuelven respuestas en formato JSON.</w:t>
      </w:r>
    </w:p>
    <w:p>
      <w:pPr>
        <w:pStyle w:val="ListParagraph"/>
        <w:numPr>
          <w:ilvl w:val="0"/>
          <w:numId w:val="1"/>
        </w:numPr>
        <w:spacing w:after="90" w:line="276"/>
      </w:pPr>
      <w:r>
        <w:rPr>
          <w:rFonts w:ascii="Calibri" w:cs="Calibri" w:eastAsia="Calibri" w:hAnsi="Calibri"/>
          <w:sz w:val="22"/>
          <w:szCs w:val="22"/>
        </w:rPr>
        <w:t xml:space="preserve">Autenticación y autorización: valida la identidad del usuario y verifica que su perfil tenga permiso sobre la operación solicitada.</w:t>
      </w:r>
    </w:p>
    <w:p>
      <w:pPr>
        <w:pStyle w:val="ListParagraph"/>
        <w:numPr>
          <w:ilvl w:val="0"/>
          <w:numId w:val="1"/>
        </w:numPr>
        <w:spacing w:after="90" w:line="276"/>
      </w:pPr>
      <w:r>
        <w:rPr>
          <w:rFonts w:ascii="Calibri" w:cs="Calibri" w:eastAsia="Calibri" w:hAnsi="Calibri"/>
          <w:sz w:val="22"/>
          <w:szCs w:val="22"/>
        </w:rPr>
        <w:t xml:space="preserve">Servicios de negocio: concentran las reglas del proceso, agrupadas en los tres módulos definidos en el levantamiento: convocatoria, asistencia y liquidación.</w:t>
      </w:r>
    </w:p>
    <w:p>
      <w:pPr>
        <w:pStyle w:val="ListParagraph"/>
        <w:numPr>
          <w:ilvl w:val="0"/>
          <w:numId w:val="1"/>
        </w:numPr>
        <w:spacing w:after="90" w:line="276"/>
      </w:pPr>
      <w:r>
        <w:rPr>
          <w:rFonts w:ascii="Calibri" w:cs="Calibri" w:eastAsia="Calibri" w:hAnsi="Calibri"/>
          <w:sz w:val="22"/>
          <w:szCs w:val="22"/>
        </w:rPr>
        <w:t xml:space="preserve">Observadores de auditoría: registran automáticamente cada modificación de un registro de asistencia, sin depender de que el programador lo recuerde en cada operación.</w:t>
      </w:r>
    </w:p>
    <w:p>
      <w:pPr>
        <w:pStyle w:val="ListParagraph"/>
        <w:numPr>
          <w:ilvl w:val="0"/>
          <w:numId w:val="1"/>
        </w:numPr>
        <w:spacing w:after="90" w:line="276"/>
      </w:pPr>
      <w:r>
        <w:rPr>
          <w:rFonts w:ascii="Calibri" w:cs="Calibri" w:eastAsia="Calibri" w:hAnsi="Calibri"/>
          <w:sz w:val="22"/>
          <w:szCs w:val="22"/>
        </w:rPr>
        <w:t xml:space="preserve">Acceso a datos: mediante el ORM del framework y sus migraciones, que mantienen la estructura de la base de datos versionada junto al código.</w:t>
      </w:r>
    </w:p>
    <w:p>
      <w:pPr>
        <w:spacing w:after="90" w:before="240"/>
      </w:pPr>
      <w:r>
        <w:rPr>
          <w:rFonts w:ascii="Calibri" w:cs="Calibri" w:eastAsia="Calibri" w:hAnsi="Calibri"/>
          <w:b/>
          <w:bCs/>
          <w:sz w:val="23"/>
          <w:szCs w:val="23"/>
        </w:rPr>
        <w:t xml:space="preserve">3.3 Capa de datos</w:t>
      </w:r>
    </w:p>
    <w:p>
      <w:pPr>
        <w:spacing w:after="160" w:line="276"/>
      </w:pPr>
      <w:r>
        <w:rPr>
          <w:rFonts w:ascii="Calibri" w:cs="Calibri" w:eastAsia="Calibri" w:hAnsi="Calibri"/>
          <w:sz w:val="22"/>
          <w:szCs w:val="22"/>
        </w:rPr>
        <w:t xml:space="preserve">Base de datos relacional compuesta por once tablas. La integridad se resguarda mediante claves foráneas, y determinadas reglas de negocio se garantizan directamente en el motor en lugar de depender del código de la aplicación.</w:t>
      </w:r>
    </w:p>
    <w:p>
      <w:pPr>
        <w:spacing w:after="160" w:line="276"/>
      </w:pPr>
      <w:r>
        <w:rPr>
          <w:rFonts w:ascii="Calibri" w:cs="Calibri" w:eastAsia="Calibri" w:hAnsi="Calibri"/>
          <w:sz w:val="22"/>
          <w:szCs w:val="22"/>
        </w:rPr>
        <w:t xml:space="preserve">El caso más relevante es la regla que impide asignar dos turnos a un mismo trabajador en una misma fecha (RF-20), implementada mediante un índice único sobre el trabajador y la fecha del turno. De este modo la base rechaza la operación aunque el error provenga de la aplicación.</w:t>
      </w:r>
    </w:p>
    <w:p>
      <w:pPr>
        <w:spacing w:after="150" w:before="320"/>
      </w:pPr>
      <w:r>
        <w:rPr>
          <w:rFonts w:ascii="Calibri" w:cs="Calibri" w:eastAsia="Calibri" w:hAnsi="Calibri"/>
          <w:b/>
          <w:bCs/>
          <w:sz w:val="26"/>
          <w:szCs w:val="26"/>
        </w:rPr>
        <w:t xml:space="preserve">4. Aspectos transversales</w:t>
      </w:r>
    </w:p>
    <w:p>
      <w:pPr>
        <w:spacing w:after="90" w:before="240"/>
      </w:pPr>
      <w:r>
        <w:rPr>
          <w:rFonts w:ascii="Calibri" w:cs="Calibri" w:eastAsia="Calibri" w:hAnsi="Calibri"/>
          <w:b/>
          <w:bCs/>
          <w:sz w:val="23"/>
          <w:szCs w:val="23"/>
        </w:rPr>
        <w:t xml:space="preserve">4.1 Control de acceso</w:t>
      </w:r>
    </w:p>
    <w:p>
      <w:pPr>
        <w:spacing w:after="160" w:line="276"/>
      </w:pPr>
      <w:r>
        <w:rPr>
          <w:rFonts w:ascii="Calibri" w:cs="Calibri" w:eastAsia="Calibri" w:hAnsi="Calibri"/>
          <w:sz w:val="22"/>
          <w:szCs w:val="22"/>
        </w:rPr>
        <w:t xml:space="preserve">El sistema define tres perfiles: trabajador, encargado o supervisor y administrador. Cada solicitud a la API verifica el perfil del usuario antes de ejecutarse. El trabajador únicamente puede consultar su propia información, conforme a lo establecido en G.2 de la entrevista.</w:t>
      </w:r>
    </w:p>
    <w:p>
      <w:pPr>
        <w:spacing w:after="90" w:before="240"/>
      </w:pPr>
      <w:r>
        <w:rPr>
          <w:rFonts w:ascii="Calibri" w:cs="Calibri" w:eastAsia="Calibri" w:hAnsi="Calibri"/>
          <w:b/>
          <w:bCs/>
          <w:sz w:val="23"/>
          <w:szCs w:val="23"/>
        </w:rPr>
        <w:t xml:space="preserve">4.2 Trazabilidad</w:t>
      </w:r>
    </w:p>
    <w:p>
      <w:pPr>
        <w:spacing w:after="160" w:line="276"/>
      </w:pPr>
      <w:r>
        <w:rPr>
          <w:rFonts w:ascii="Calibri" w:cs="Calibri" w:eastAsia="Calibri" w:hAnsi="Calibri"/>
          <w:sz w:val="22"/>
          <w:szCs w:val="22"/>
        </w:rPr>
        <w:t xml:space="preserve">Toda modificación de un registro de asistencia genera una entrada en la tabla de auditoría, indicando quién realizó el cambio, cuándo, qué valor tenía antes y cuál quedó registrado. Este mecanismo responde al problema central identificado en el levantamiento: la imposibilidad de determinar quién tiene la razón cuando existe una diferencia entre lo trabajado y lo registrado.</w:t>
      </w:r>
    </w:p>
    <w:p>
      <w:pPr>
        <w:spacing w:after="90" w:before="240"/>
      </w:pPr>
      <w:r>
        <w:rPr>
          <w:rFonts w:ascii="Calibri" w:cs="Calibri" w:eastAsia="Calibri" w:hAnsi="Calibri"/>
          <w:b/>
          <w:bCs/>
          <w:sz w:val="23"/>
          <w:szCs w:val="23"/>
        </w:rPr>
        <w:t xml:space="preserve">4.3 Conservación de la información</w:t>
      </w:r>
    </w:p>
    <w:p>
      <w:pPr>
        <w:spacing w:after="160" w:line="276"/>
      </w:pPr>
      <w:r>
        <w:rPr>
          <w:rFonts w:ascii="Calibri" w:cs="Calibri" w:eastAsia="Calibri" w:hAnsi="Calibri"/>
          <w:sz w:val="22"/>
          <w:szCs w:val="22"/>
        </w:rPr>
        <w:t xml:space="preserve">Las tablas de usuarios, turnos y asistencias emplean borrado lógico en lugar de eliminación física, de modo que los registros permanezcan disponibles durante los tres años exigidos en G.3.</w:t>
      </w:r>
    </w:p>
    <w:p>
      <w:pPr>
        <w:spacing w:after="90" w:before="240"/>
      </w:pPr>
      <w:r>
        <w:rPr>
          <w:rFonts w:ascii="Calibri" w:cs="Calibri" w:eastAsia="Calibri" w:hAnsi="Calibri"/>
          <w:b/>
          <w:bCs/>
          <w:sz w:val="23"/>
          <w:szCs w:val="23"/>
        </w:rPr>
        <w:t xml:space="preserve">4.4 Protección de datos personales</w:t>
      </w:r>
    </w:p>
    <w:p>
      <w:pPr>
        <w:spacing w:after="160" w:line="276"/>
      </w:pPr>
      <w:r>
        <w:rPr>
          <w:rFonts w:ascii="Calibri" w:cs="Calibri" w:eastAsia="Calibri" w:hAnsi="Calibri"/>
          <w:sz w:val="22"/>
          <w:szCs w:val="22"/>
        </w:rPr>
        <w:t xml:space="preserve">El sistema almacena RUT, correo electrónico y datos de pago de los trabajadores. Las contraseñas se guardan cifradas mediante el algoritmo de resumen del framework y en ningún caso en texto plano. El acceso a estos datos queda restringido por perfil y no se expone en respuestas públicas de la API.</w:t>
      </w:r>
    </w:p>
    <w:p>
      <w:pPr>
        <w:spacing w:after="150" w:before="320"/>
      </w:pPr>
      <w:r>
        <w:rPr>
          <w:rFonts w:ascii="Calibri" w:cs="Calibri" w:eastAsia="Calibri" w:hAnsi="Calibri"/>
          <w:b/>
          <w:bCs/>
          <w:sz w:val="26"/>
          <w:szCs w:val="26"/>
        </w:rPr>
        <w:t xml:space="preserve">5. Despliegue</w:t>
      </w:r>
    </w:p>
    <w:p>
      <w:pPr>
        <w:spacing w:after="160" w:line="276"/>
      </w:pPr>
      <w:r>
        <w:rPr>
          <w:rFonts w:ascii="Calibri" w:cs="Calibri" w:eastAsia="Calibri" w:hAnsi="Calibri"/>
          <w:sz w:val="22"/>
          <w:szCs w:val="22"/>
        </w:rPr>
        <w:t xml:space="preserve">La aplicación React se compila y se publica como archivos estáticos en el directorio público del alojamiento. La API de Laravel se instala en el mismo servidor, apuntando el dominio a su carpeta pública. La base de datos se administra mediante la herramienta incluida en el panel de control.</w:t>
      </w:r>
    </w:p>
    <w:p>
      <w:pPr>
        <w:spacing w:after="160" w:line="276"/>
      </w:pPr>
      <w:r>
        <w:rPr>
          <w:rFonts w:ascii="Calibri" w:cs="Calibri" w:eastAsia="Calibri" w:hAnsi="Calibri"/>
          <w:sz w:val="22"/>
          <w:szCs w:val="22"/>
        </w:rPr>
        <w:t xml:space="preserve">El envío del resumen del período al trabajador, requerido en RF-17, se realiza mediante el servicio de correo del propio alojamiento.</w:t>
      </w:r>
    </w:p>
    <w:p>
      <w:pPr>
        <w:spacing w:after="150" w:before="320"/>
      </w:pPr>
      <w:r>
        <w:rPr>
          <w:rFonts w:ascii="Calibri" w:cs="Calibri" w:eastAsia="Calibri" w:hAnsi="Calibri"/>
          <w:b/>
          <w:bCs/>
          <w:sz w:val="26"/>
          <w:szCs w:val="26"/>
        </w:rPr>
        <w:t xml:space="preserve">6. Restricciones y riesgos del entorno</w:t>
      </w:r>
    </w:p>
    <w:p>
      <w:pPr>
        <w:pStyle w:val="ListParagraph"/>
        <w:numPr>
          <w:ilvl w:val="0"/>
          <w:numId w:val="1"/>
        </w:numPr>
        <w:spacing w:after="90" w:line="276"/>
      </w:pPr>
      <w:r>
        <w:rPr>
          <w:rFonts w:ascii="Calibri" w:cs="Calibri" w:eastAsia="Calibri" w:hAnsi="Calibri"/>
          <w:sz w:val="22"/>
          <w:szCs w:val="22"/>
        </w:rPr>
        <w:t xml:space="preserve">El alojamiento corresponde a un servidor compartido administrado con cPanel, lo que impone límites en los procesos que pueden ejecutarse de forma permanente y en las tareas programadas disponibles.</w:t>
      </w:r>
    </w:p>
    <w:p>
      <w:pPr>
        <w:pStyle w:val="ListParagraph"/>
        <w:numPr>
          <w:ilvl w:val="0"/>
          <w:numId w:val="1"/>
        </w:numPr>
        <w:spacing w:after="90" w:line="276"/>
      </w:pPr>
      <w:r>
        <w:rPr>
          <w:rFonts w:ascii="Calibri" w:cs="Calibri" w:eastAsia="Calibri" w:hAnsi="Calibri"/>
          <w:sz w:val="22"/>
          <w:szCs w:val="22"/>
        </w:rPr>
        <w:t xml:space="preserve">El servidor opera sobre Linux, sistema que distingue mayúsculas de minúsculas en los nombres de tabla. Por esta razón el modelo de datos utiliza exclusivamente nombres en minúsculas.</w:t>
      </w:r>
    </w:p>
    <w:p>
      <w:pPr>
        <w:pStyle w:val="ListParagraph"/>
        <w:numPr>
          <w:ilvl w:val="0"/>
          <w:numId w:val="1"/>
        </w:numPr>
        <w:spacing w:after="90" w:line="276"/>
      </w:pPr>
      <w:r>
        <w:rPr>
          <w:rFonts w:ascii="Calibri" w:cs="Calibri" w:eastAsia="Calibri" w:hAnsi="Calibri"/>
          <w:sz w:val="22"/>
          <w:szCs w:val="22"/>
        </w:rPr>
        <w:t xml:space="preserve">El prototipo desarrollado previamente almacena las contraseñas con un algoritmo distinto al que utiliza Laravel. Al migrar, las credenciales existentes no serán válidas y los usuarios deberán establecer una nueva contraseña.</w:t>
      </w:r>
    </w:p>
    <w:p>
      <w:pPr>
        <w:pStyle w:val="ListParagraph"/>
        <w:numPr>
          <w:ilvl w:val="0"/>
          <w:numId w:val="1"/>
        </w:numPr>
        <w:spacing w:after="90" w:line="276"/>
      </w:pPr>
      <w:r>
        <w:rPr>
          <w:rFonts w:ascii="Calibri" w:cs="Calibri" w:eastAsia="Calibri" w:hAnsi="Calibri"/>
          <w:sz w:val="22"/>
          <w:szCs w:val="22"/>
        </w:rPr>
        <w:t xml:space="preserve">El sistema debe soportar 40 usuarios simultáneos según G.1, con mayor concentración en el momento de ingreso al turno. Corresponde verificar que el plan de alojamiento contratado admita esa carga.</w:t>
      </w:r>
    </w:p>
    <w:p>
      <w:pPr>
        <w:spacing w:after="150" w:before="320"/>
      </w:pPr>
      <w:r>
        <w:rPr>
          <w:rFonts w:ascii="Calibri" w:cs="Calibri" w:eastAsia="Calibri" w:hAnsi="Calibri"/>
          <w:b/>
          <w:bCs/>
          <w:sz w:val="26"/>
          <w:szCs w:val="26"/>
        </w:rPr>
        <w:t xml:space="preserve">7. Definiciones pendientes</w:t>
      </w:r>
    </w:p>
    <w:p>
      <w:pPr>
        <w:pStyle w:val="ListParagraph"/>
        <w:numPr>
          <w:ilvl w:val="0"/>
          <w:numId w:val="1"/>
        </w:numPr>
        <w:spacing w:after="90" w:line="276"/>
      </w:pPr>
      <w:r>
        <w:rPr>
          <w:rFonts w:ascii="Calibri" w:cs="Calibri" w:eastAsia="Calibri" w:hAnsi="Calibri"/>
          <w:sz w:val="22"/>
          <w:szCs w:val="22"/>
        </w:rPr>
        <w:t xml:space="preserve">Canal por el que se enviarán las notificaciones de convocatoria y cancelación. Corresponde a la consulta pendiente número 10 de la consolidación de la entrevista.</w:t>
      </w:r>
    </w:p>
    <w:p>
      <w:pPr>
        <w:pStyle w:val="ListParagraph"/>
        <w:numPr>
          <w:ilvl w:val="0"/>
          <w:numId w:val="1"/>
        </w:numPr>
        <w:spacing w:after="90" w:line="276"/>
      </w:pPr>
      <w:r>
        <w:rPr>
          <w:rFonts w:ascii="Calibri" w:cs="Calibri" w:eastAsia="Calibri" w:hAnsi="Calibri"/>
          <w:sz w:val="22"/>
          <w:szCs w:val="22"/>
        </w:rPr>
        <w:t xml:space="preserve">Mecanismo de verificación de identidad en el marcaje. El código QR por sí solo no impide que una persona marque por otra; existen alternativas como la validación por el encargado o la geolocalización, que deben evaluarse.</w:t>
      </w:r>
    </w:p>
    <w:p>
      <w:pPr>
        <w:pStyle w:val="ListParagraph"/>
        <w:numPr>
          <w:ilvl w:val="0"/>
          <w:numId w:val="1"/>
        </w:numPr>
        <w:spacing w:after="90" w:line="276"/>
      </w:pPr>
      <w:r>
        <w:rPr>
          <w:rFonts w:ascii="Calibri" w:cs="Calibri" w:eastAsia="Calibri" w:hAnsi="Calibri"/>
          <w:sz w:val="22"/>
          <w:szCs w:val="22"/>
        </w:rPr>
        <w:t xml:space="preserve">Tiempo máximo tolerable de indisponibilidad del sistema, identificado como relevante en G.4 pero aún sin cuantificar.</w:t>
      </w:r>
    </w:p>
    <w:p>
      <w:pPr>
        <w:spacing w:after="150" w:before="320"/>
      </w:pPr>
      <w:r>
        <w:rPr>
          <w:rFonts w:ascii="Calibri" w:cs="Calibri" w:eastAsia="Calibri" w:hAnsi="Calibri"/>
          <w:b/>
          <w:bCs/>
          <w:sz w:val="26"/>
          <w:szCs w:val="26"/>
        </w:rPr>
        <w:t xml:space="preserve">8. Diagrama de arquitectura</w:t>
      </w:r>
    </w:p>
    <w:p>
      <w:pPr>
        <w:spacing w:after="200"/>
        <w:jc w:val="center"/>
      </w:pPr>
      <w:r>
        <w:drawing>
          <wp:inline distT="0" distB="0" distL="0" distR="0">
            <wp:extent cx="5334000" cy="556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562600"/>
                    </a:xfrm>
                    <a:prstGeom prst="rect">
                      <a:avLst/>
                    </a:prstGeom>
                  </pic:spPr>
                </pic:pic>
              </a:graphicData>
            </a:graphic>
          </wp:inline>
        </w:drawing>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199ea72dd178bef2859ce44051fc13ba49fa48.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2026-09-24T13:26:08.483Z</dcterms:created>
  <dcterms:modified xsi:type="dcterms:W3CDTF">2026-09-24T13:26:08.493Z</dcterms:modified>
</cp:coreProperties>
</file>

<file path=docProps/custom.xml><?xml version="1.0" encoding="utf-8"?>
<Properties xmlns="http://schemas.openxmlformats.org/officeDocument/2006/custom-properties" xmlns:vt="http://schemas.openxmlformats.org/officeDocument/2006/docPropsVTypes"/>
</file>