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60" w:type="dxa"/>
              <w:start w:w="120" w:type="dxa"/>
              <w:bottom w:w="60" w:type="dxa"/>
              <w:end w:w="120" w:type="dxa"/>
            </w:tcMar>
            <w:shd w:fill="5B3FD3"/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PRODUCT REQUIREMENTS DOCUMENT</w:t>
            </w:r>
          </w:p>
        </w:tc>
      </w:tr>
    </w:tbl>
    <w:p>
      <w:pPr>
        <w:spacing w:after="320"/>
      </w:pPr>
    </w:p>
    <w:p>
      <w:pPr>
        <w:spacing w:after="120"/>
      </w:pPr>
      <w:r>
        <w:rPr>
          <w:rFonts w:ascii="Arial" w:hAnsi="Arial" w:eastAsia="Hiragino Sans GB"/>
          <w:b/>
          <w:color w:val="172033"/>
          <w:sz w:val="62"/>
        </w:rPr>
        <w:t>CarryPilot Agent</w:t>
      </w:r>
    </w:p>
    <w:p>
      <w:pPr>
        <w:spacing w:after="320"/>
      </w:pPr>
      <w:r>
        <w:rPr>
          <w:rFonts w:ascii="Arial" w:hAnsi="Arial" w:eastAsia="Hiragino Sans GB"/>
          <w:b/>
          <w:color w:val="38278B"/>
          <w:sz w:val="38"/>
        </w:rPr>
        <w:t>AI 区块链资金费率套利 Agent</w:t>
      </w:r>
    </w:p>
    <w:p>
      <w:pPr>
        <w:spacing w:after="440"/>
      </w:pPr>
      <w:r>
        <w:rPr>
          <w:rFonts w:ascii="Arial" w:hAnsi="Arial" w:eastAsia="Hiragino Sans GB"/>
          <w:color w:val="596579"/>
          <w:sz w:val="26"/>
        </w:rPr>
        <w:t>产品需求文档  v2.0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8" w:color="5B3FD3"/>
              <w:left w:val="single" w:sz="18" w:color="5B3FD3"/>
              <w:bottom w:val="single" w:sz="8" w:color="5B3FD3"/>
              <w:right w:val="single" w:sz="8" w:color="5B3FD3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38278B"/>
                <w:sz w:val="21"/>
              </w:rPr>
              <w:t>已批准的开发基线｜方案 A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比赛版聚焦 A2A 研究 Agent、两类资金费率策略、确定性成本/风控、historical replay 与 mainnet paper，以及可验证的 Injective 身份、市场数据、x402 和 Receipt。L3 自动真实交易、Arb Score、IPFS 与多用户商业化不进入当前 P0。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文档状态</w:t>
            </w:r>
          </w:p>
        </w:tc>
        <w:tc>
          <w:tcPr>
            <w:tcW w:type="dxa" w:w="74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READY FOR FINAL REVIEW</w:t>
            </w:r>
          </w:p>
        </w:tc>
      </w:tr>
      <w:tr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决策状态</w:t>
            </w:r>
          </w:p>
        </w:tc>
        <w:tc>
          <w:tcPr>
            <w:tcW w:type="dxa" w:w="74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方案 A 已批准（2026-07-25）</w:t>
            </w:r>
          </w:p>
        </w:tc>
      </w:tr>
      <w:tr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适用赛事</w:t>
            </w:r>
          </w:p>
        </w:tc>
        <w:tc>
          <w:tcPr>
            <w:tcW w:type="dxa" w:w="74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AdventureX 2026｜Reverse 主题｜PandaAI + Injective 双赛道</w:t>
            </w:r>
          </w:p>
        </w:tc>
      </w:tr>
      <w:tr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第一用户</w:t>
            </w:r>
          </w:p>
        </w:tc>
        <w:tc>
          <w:tcPr>
            <w:tcW w:type="dxa" w:w="74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专业个人交易者、小型量化团队与评委测试 Agent</w:t>
            </w:r>
          </w:p>
        </w:tc>
      </w:tr>
      <w:tr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产品阶段</w:t>
            </w:r>
          </w:p>
        </w:tc>
        <w:tc>
          <w:tcPr>
            <w:tcW w:type="dxa" w:w="74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比赛 MVP / 无真实客户资金</w:t>
            </w:r>
          </w:p>
        </w:tc>
      </w:tr>
      <w:tr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8"/>
              </w:rPr>
              <w:t>负责人</w:t>
            </w:r>
          </w:p>
        </w:tc>
        <w:tc>
          <w:tcPr>
            <w:tcW w:type="dxa" w:w="74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8"/>
              </w:rPr>
              <w:t>CarryPilot Team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Arial" w:hAnsi="Arial" w:eastAsia="Hiragino Sans GB"/>
          <w:i/>
          <w:color w:val="38278B"/>
          <w:sz w:val="22"/>
        </w:rPr>
        <w:t>“不是让 AI 猜涨跌，而是先对冲方向风险，再判断净 carry 是否值得研究。”</w:t>
      </w:r>
    </w:p>
    <w:p>
      <w:pPr>
        <w:jc w:val="center"/>
      </w:pPr>
      <w:r>
        <w:rPr>
          <w:rFonts w:ascii="Arial" w:hAnsi="Arial" w:eastAsia="Hiragino Sans GB"/>
          <w:color w:val="596579"/>
          <w:sz w:val="17"/>
        </w:rPr>
        <w:t>2026-07-25  •  Hangzhou</w:t>
      </w:r>
    </w:p>
    <w:p>
      <w:r>
        <w:rPr>
          <w:rFonts w:ascii="Arial" w:hAnsi="Arial" w:eastAsia="Hiragino Sans GB"/>
        </w:rPr>
        <w:br w:type="page"/>
      </w:r>
    </w:p>
    <w:p>
      <w:bookmarkStart w:id="10" w:name="sec0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0. 执行决策</w:t>
      </w:r>
      <w:bookmarkEnd w:id="10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  <w:tcBorders>
              <w:top w:val="single" w:sz="8" w:color="157347"/>
              <w:left w:val="single" w:sz="18" w:color="157347"/>
              <w:bottom w:val="single" w:sz="8" w:color="157347"/>
              <w:right w:val="single" w:sz="8" w:color="157347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157347"/>
                <w:sz w:val="21"/>
              </w:rPr>
              <w:t>GO｜按本 v2 进入开发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方向成立，范围已收敛，且数据、赛道与技术证据足以形成可开发 Spec。开发必须严格遵守 P0 边界：研究与模拟优先，任何真实资金自动执行均由赛后阶段门控制。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Hiragino Sans GB"/>
          <w:i w:val="0"/>
        </w:rPr>
        <w:t>CarryPilot 是一个公网可调用的 A2A 资金费率研究与 paper-execution Agent。它统一 Binance、Bybit、Hyperliquid 与 Injective 的市场数据，使用确定性引擎计算成本后机会并执行风险硬门；合格候选生成可复现的 paper trade，最终将 Receipt 摘要锚定到 Injective。AI 负责理解、编排和解释，不负责自由生成交易数值。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65,697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已采集 Funding 事件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24 个月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BTC / ETH / SOL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3 + 1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已采集场所 + Injective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A2A 核心任务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0.1 v2 相对原 PRD 的关键变化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4680"/>
      </w:tblGrid>
      <w:tr>
        <w:trPr>
          <w:cantSplit/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原版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v2 开发基线</w:t>
            </w:r>
          </w:p>
        </w:tc>
      </w:tr>
      <w:tr>
        <w:tc>
          <w:tcPr>
            <w:tcW w:type="dxa" w:w="15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A2A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P1 可选协议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 提交形态；公网 Agent Card、3 个任务、20 分钟硬上限</w:t>
            </w:r>
          </w:p>
        </w:tc>
      </w:tr>
      <w:tr>
        <w:tc>
          <w:tcPr>
            <w:tcW w:type="dxa" w:w="15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执行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L1/L2/L3 同时进入 MVP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 仅研究 + paper；L3 赛后且需 30 天影子盘</w:t>
            </w:r>
          </w:p>
        </w:tc>
      </w:tr>
      <w:tr>
        <w:tc>
          <w:tcPr>
            <w:tcW w:type="dxa" w:w="15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策略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结构描述为主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S1/S2 的数据时点、入退场、成本、拒绝码与验收可编码</w:t>
            </w:r>
          </w:p>
        </w:tc>
      </w:tr>
      <w:tr>
        <w:tc>
          <w:tcPr>
            <w:tcW w:type="dxa" w:w="15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回测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未接入现有数据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24 个月数据、缺口、包装资产与反未来函数进入需求</w:t>
            </w:r>
          </w:p>
        </w:tc>
      </w:tr>
      <w:tr>
        <w:tc>
          <w:tcPr>
            <w:tcW w:type="dxa" w:w="15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可信基础设施叙事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市场数据腿 + ERC-8004 + x402 + Receipt 的可验证证据链</w:t>
            </w:r>
          </w:p>
        </w:tc>
      </w:tr>
      <w:tr>
        <w:tc>
          <w:tcPr>
            <w:tcW w:type="dxa" w:w="15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Demo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功能罗列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90 秒故事：问题 → 候选 → 风控/拒绝 → paper → 链上证据</w:t>
            </w:r>
          </w:p>
        </w:tc>
      </w:tr>
      <w:tr>
        <w:tc>
          <w:tcPr>
            <w:tcW w:type="dxa" w:w="15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合规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套利建议/下单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研究结论/paper candidate；固定风险提示，不承诺收益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0.2 证据层级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E1｜硬要求：PandaAI 原始赛道文档、Injective 参赛信息与现场 PPT。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E2｜官方技术：Injective、Hyperliquid 官方文档与官方 SDK/仓库。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E3｜项目事实：已采集数据、质量报告、独立验证与本项目研究材料。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E4｜设计假设：比赛版默认阈值、容量模型与 Demo 编排；必须在运行配置中版本化。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F"/>
            <w:tcBorders>
              <w:top w:val="single" w:sz="8" w:color="9A6700"/>
              <w:left w:val="single" w:sz="18" w:color="9A6700"/>
              <w:bottom w:val="single" w:sz="8" w:color="9A6700"/>
              <w:right w:val="single" w:sz="8" w:color="9A6700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9A6700"/>
                <w:sz w:val="21"/>
              </w:rPr>
              <w:t>证据纪律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现场录音存在自动转写误差。命令、SDK 名称、区块时间和协议名称均以现场 PPT及官方文档复核后的写法为准；未核验的宣传性陈述不作为产品验收依据。</w:t>
            </w:r>
          </w:p>
        </w:tc>
      </w:tr>
    </w:tbl>
    <w:p>
      <w:pPr>
        <w:spacing w:after="0"/>
      </w:pPr>
    </w:p>
    <w:p>
      <w:bookmarkStart w:id="11" w:name="nav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文档导航</w:t>
      </w:r>
      <w:bookmarkEnd w:id="1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496"/>
      </w:tblGrid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产品定义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2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2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目标、非目标与成功标准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3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3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主题与双赛道适配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4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4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MVP 范围与核心用户流程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5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5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策略与机会判断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6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6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数据、回测与模拟环境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7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7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AI Agent 与 A2A 需求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8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8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系统架构与组件边界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9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9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Injective 产品集成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10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0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Paper 执行、状态机与 Receipt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11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1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风控、安全与合规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12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2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体验、Demo 与提交物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13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3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功能需求清单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14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4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非功能与可观测性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15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5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验收标准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16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6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指标与分析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17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sec17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阶段门与开发顺序</w:t>
              </w:r>
            </w:hyperlink>
          </w:p>
        </w:tc>
      </w:tr>
      <w:tr>
        <w:trPr>
          <w:cantSplit/>
        </w:trPr>
        <w:tc>
          <w:tcPr>
            <w:tcW w:type="dxa" w:w="864"/>
            <w:shd w:fill="5B3FD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附录</w:t>
            </w:r>
          </w:p>
        </w:tc>
        <w:tc>
          <w:tcPr>
            <w:tcW w:type="dxa" w:w="8496"/>
            <w:shd w:fill="F2E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hyperlink w:anchor="appa" w:history="1">
              <w:r>
                <w:rPr>
                  <w:rFonts w:ascii="Arial" w:hAnsi="Arial" w:eastAsia="Hiragino Sans GB"/>
                  <w:color w:val="5B3FD3"/>
                  <w:u w:val="single"/>
                </w:rPr>
                <w:t>Schema、拒绝码、提交清单与来源</w:t>
              </w:r>
            </w:hyperlink>
          </w:p>
        </w:tc>
      </w:tr>
    </w:tbl>
    <w:p>
      <w:bookmarkStart w:id="20" w:name="sec1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1. 产品定义</w:t>
      </w:r>
      <w:bookmarkEnd w:id="2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1.1 一句话 Pitch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8" w:color="5B3FD3"/>
              <w:left w:val="single" w:sz="18" w:color="5B3FD3"/>
              <w:bottom w:val="single" w:sz="8" w:color="5B3FD3"/>
              <w:right w:val="single" w:sz="8" w:color="5B3FD3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38278B"/>
                <w:sz w:val="21"/>
              </w:rPr>
              <w:t>CarryPilot Agent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一个成本感知、风险约束、可解释的市场中性 carry 研究 Agent：扫描同平台“现货—永续”和跨平台“永续—永续”资金费率机会，在拒绝毛 APR 幻觉后输出可复现的回测、paper trade 与 Injective 链上证据。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1.2 第一用户与 JTBD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528"/>
        <w:gridCol w:w="4104"/>
      </w:tblGrid>
      <w:tr>
        <w:trPr>
          <w:cantSplit/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当前痛点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需要完成的工作</w:t>
            </w:r>
          </w:p>
        </w:tc>
      </w:tr>
      <w:tr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专业个人交易者</w:t>
            </w:r>
          </w:p>
        </w:tc>
        <w:tc>
          <w:tcPr>
            <w:tcW w:type="dxa" w:w="35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高 Funding 看似诱人，但完整成本、基差与保证金风险难统一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快速判断“是否值得进一步研究”，而不是收到买卖指令</w:t>
            </w:r>
          </w:p>
        </w:tc>
      </w:tr>
      <w:tr>
        <w:tc>
          <w:tcPr>
            <w:tcW w:type="dxa" w:w="17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小型量化团队</w:t>
            </w:r>
          </w:p>
        </w:tc>
        <w:tc>
          <w:tcPr>
            <w:tcW w:type="dxa" w:w="35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跨 venue 数据口径、回测与 paper 环境割裂</w:t>
            </w:r>
          </w:p>
        </w:tc>
        <w:tc>
          <w:tcPr>
            <w:tcW w:type="dxa" w:w="41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获得可复现参数、成本归因、数据限制和故障记录</w:t>
            </w:r>
          </w:p>
        </w:tc>
      </w:tr>
      <w:tr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评委 / Agent 调用方</w:t>
            </w:r>
          </w:p>
        </w:tc>
        <w:tc>
          <w:tcPr>
            <w:tcW w:type="dxa" w:w="35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无法仅凭 UI 判断 AI、策略与链上集成是否真实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通过 A2A 调用完整任务，并核验代码、哈希和状态机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Hiragino Sans GB"/>
          <w:i w:val="0"/>
        </w:rPr>
        <w:t>核心 JTBD：当我看到一个高 Funding/APR 候选时，我希望系统只使用当时已知数据，按保守成本判断其是否仍有正向 carry；若证据不足或风险不合格，应明确拒绝；若通过，生成可复现的历史验证或 paper trade，并解释净 PnL 来源与失效条件。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1.3 问题与产品原则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cantSplit/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产品落地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毛 APR ≠ 可实现收益</w:t>
            </w:r>
          </w:p>
        </w:tc>
        <w:tc>
          <w:tcPr>
            <w:tcW w:type="dxa" w:w="67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展示 Gross、Modeled Net、Paper Realized 四种口径并禁止混用</w:t>
            </w:r>
          </w:p>
        </w:tc>
      </w:tr>
      <w:tr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方向中性 ≠ 无风险</w:t>
            </w:r>
          </w:p>
        </w:tc>
        <w:tc>
          <w:tcPr>
            <w:tcW w:type="dxa" w:w="67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对双腿、保证金隔离、基差、Funding 翻转和包装资产单独设门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AI 会解释，不应改账</w:t>
            </w:r>
          </w:p>
        </w:tc>
        <w:tc>
          <w:tcPr>
            <w:tcW w:type="dxa" w:w="67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所有数值、风控与状态转移由确定性代码生成并加版本</w:t>
            </w:r>
          </w:p>
        </w:tc>
      </w:tr>
      <w:tr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链上哈希 ≠ 外部成交证明</w:t>
            </w:r>
          </w:p>
        </w:tc>
        <w:tc>
          <w:tcPr>
            <w:tcW w:type="dxa" w:w="67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Receipt 证明本地记录未被改写，不证明 CEX/DEX 外部成交真实性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没有机会也是有效结果</w:t>
            </w:r>
          </w:p>
        </w:tc>
        <w:tc>
          <w:tcPr>
            <w:tcW w:type="dxa" w:w="67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当成本或风险不通过时，REJECTED 是成功完成任务</w:t>
            </w:r>
          </w:p>
        </w:tc>
      </w:tr>
    </w:tbl>
    <w:p>
      <w:pPr>
        <w:spacing w:after="0"/>
      </w:pPr>
    </w:p>
    <w:p>
      <w:bookmarkStart w:id="30" w:name="sec2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2. 目标、非目标与成功标准</w:t>
      </w:r>
      <w:bookmarkEnd w:id="3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2.1 P0 产品目标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把 BTC、ETH、SOL 的资金费率机会标准化为可比较的“成本后候选”。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用同一套策略代码运行 Historical Replay、Mainnet Shadow 与 Testnet Integration。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以公网 A2A Remote Agent 完成机会发现、回测验证和故障模拟三类任务。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让 Injective 的真实永续市场数据进入统一引擎，并至少产生一个包含 Injective 腿的候选。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在 Injective 测试网完成 Agent 身份、x402 付费报告和 Receipt 锚定的可查询证据。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形成评委可在 90 秒内理解、可在仓库中复现的端到端故事。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2.2 明确非目标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不提供个性化投资建议、适合性判断、收益承诺、荐币或代客理财。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不在比赛版使用真实客户资金，不托管主钱包，不开放 L3 自动真实交易。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不做负 Funding 下的“做空现货 + 做多永续”，因为借币、召回与融资成本尚未纳入 P0。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不做 Arb Score、IPFS、策略市场、排行榜、多用户账户体系或大而全 Dashboard。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不把测试网流动性、下单成功或交易哈希描述为主网盈利、容量或执行质量证明。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不为股票、指数、商品永续构造“持有现货证券”的叙事；比赛数据范围固定为 BTC、ETH、SOL。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2.3 比赛版成功标准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成功定义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产品闭环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三类 A2A 任务各连续 5 次可解析完成；无机会时正确拒绝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数值可信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Agent 所有数值与确定性引擎完全一致；时点、假设与版本可追溯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回测可信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12–24 个月回放无未来函数；成本、缺口与估算项显式分拆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数据腿、ERC-8004、x402、Receipt 至少各有一个可查询/复现证据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提交完整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在线 Demo/视频、公开 GitHub、架构图、团队分工、测试网地址与交易哈希齐全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体验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陌生评委在 90 秒视频中能复述问题、价值、AI 核心作用与链上证据</w:t>
            </w:r>
          </w:p>
        </w:tc>
      </w:tr>
    </w:tbl>
    <w:p>
      <w:pPr>
        <w:spacing w:after="0"/>
      </w:pPr>
    </w:p>
    <w:p>
      <w:bookmarkStart w:id="40" w:name="sec3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3. 主题与双赛道适配</w:t>
      </w:r>
      <w:bookmarkEnd w:id="4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3.1 Reverse 主题</w:t>
      </w:r>
    </w:p>
    <w:p>
      <w:pPr/>
      <w:r>
        <w:rPr>
          <w:rFonts w:ascii="Arial" w:hAnsi="Arial" w:eastAsia="Hiragino Sans GB"/>
          <w:i w:val="0"/>
        </w:rPr>
        <w:t>Reverse 的产品表达不是“预测下一根 K 线”，而是逆转传统交易流程：先构造方向中性、再检查成本和风险，最后才决定是否值得进入 paper。系统通过“可以拒绝交易”来体现 Agent 的判断力，而不是用更多功能或更高 APR 制造幻觉。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3.2 PandaAI｜Build the Next AI Trader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688"/>
        <w:gridCol w:w="1152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赛道要求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产品满足方式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A2A Remote Agent</w:t>
            </w:r>
          </w:p>
        </w:tc>
        <w:tc>
          <w:tcPr>
            <w:tcW w:type="dxa" w:w="56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公网 Agent Card 与服务地址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复杂金融任务</w:t>
            </w:r>
          </w:p>
        </w:tc>
        <w:tc>
          <w:tcPr>
            <w:tcW w:type="dxa" w:w="56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扫描 → 成本 → 风控 → 回测/paper → 报告</w:t>
            </w:r>
          </w:p>
        </w:tc>
        <w:tc>
          <w:tcPr>
            <w:tcW w:type="dxa" w:w="11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至少 3 个任务</w:t>
            </w:r>
          </w:p>
        </w:tc>
        <w:tc>
          <w:tcPr>
            <w:tcW w:type="dxa" w:w="56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Opportunity / Backtest / Failure Simulation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底座模型</w:t>
            </w:r>
          </w:p>
        </w:tc>
        <w:tc>
          <w:tcPr>
            <w:tcW w:type="dxa" w:w="56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DeepSeek V4 pro；由模型适配层记录 model_id</w:t>
            </w:r>
          </w:p>
        </w:tc>
        <w:tc>
          <w:tcPr>
            <w:tcW w:type="dxa" w:w="11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响应时间</w:t>
            </w:r>
          </w:p>
        </w:tc>
        <w:tc>
          <w:tcPr>
            <w:tcW w:type="dxa" w:w="56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P95 &lt; 90 秒；硬上限 &lt; 20 分钟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可解释与合规</w:t>
            </w:r>
          </w:p>
        </w:tc>
        <w:tc>
          <w:tcPr>
            <w:tcW w:type="dxa" w:w="56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来源、时点、假设、拒绝原因、风险提示</w:t>
            </w:r>
          </w:p>
        </w:tc>
        <w:tc>
          <w:tcPr>
            <w:tcW w:type="dxa" w:w="11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授权数据</w:t>
            </w:r>
          </w:p>
        </w:tc>
        <w:tc>
          <w:tcPr>
            <w:tcW w:type="dxa" w:w="56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不绕过 PandaAI 或第三方数据权限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3.3 Injective Blockchain × AI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176"/>
        <w:gridCol w:w="3528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Info Session 要求/建议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本产品响应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参赛资格</w:t>
            </w:r>
          </w:p>
        </w:tc>
        <w:tc>
          <w:tcPr>
            <w:tcW w:type="dxa" w:w="41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个人/团队；赛事期间新开发或有实质性新功能</w:t>
            </w:r>
          </w:p>
        </w:tc>
        <w:tc>
          <w:tcPr>
            <w:tcW w:type="dxa" w:w="35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v2 与相关代码提交形成新增功能证据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技术门槛</w:t>
            </w:r>
          </w:p>
        </w:tc>
        <w:tc>
          <w:tcPr>
            <w:tcW w:type="dxa" w:w="41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实际部署或集成至测试网/主网；EVM、CosmWasm、SDK 均可</w:t>
            </w:r>
          </w:p>
        </w:tc>
        <w:tc>
          <w:tcPr>
            <w:tcW w:type="dxa" w:w="35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选用 Injective EVM + Native/MCP 数据接口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提交物</w:t>
            </w:r>
          </w:p>
        </w:tc>
        <w:tc>
          <w:tcPr>
            <w:tcW w:type="dxa" w:w="41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Pitch、可运行 Demo/视频、公开代码、架构图、团队分工</w:t>
            </w:r>
          </w:p>
        </w:tc>
        <w:tc>
          <w:tcPr>
            <w:tcW w:type="dxa" w:w="35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纳入提交清单与仓库 evidence/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评审</w:t>
            </w:r>
          </w:p>
        </w:tc>
        <w:tc>
          <w:tcPr>
            <w:tcW w:type="dxa" w:w="41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集成度、完整性、AI 创新、应用价值、产品体验</w:t>
            </w:r>
          </w:p>
        </w:tc>
        <w:tc>
          <w:tcPr>
            <w:tcW w:type="dxa" w:w="35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每一项映射到可执行验收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现场建议</w:t>
            </w:r>
          </w:p>
        </w:tc>
        <w:tc>
          <w:tcPr>
            <w:tcW w:type="dxa" w:w="41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首次参赛优先 EVM；所有写操作先测试网；展示地址/交易哈希</w:t>
            </w:r>
          </w:p>
        </w:tc>
        <w:tc>
          <w:tcPr>
            <w:tcW w:type="dxa" w:w="35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P0 技术路径与 Demo 证据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展示建议</w:t>
            </w:r>
          </w:p>
        </w:tc>
        <w:tc>
          <w:tcPr>
            <w:tcW w:type="dxa" w:w="41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英文版本，讲清问题、核心流程、链上证据</w:t>
            </w:r>
          </w:p>
        </w:tc>
        <w:tc>
          <w:tcPr>
            <w:tcW w:type="dxa" w:w="35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双语 UI；90 秒英文 Demo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8" w:color="2E74B5"/>
              <w:left w:val="single" w:sz="18" w:color="2E74B5"/>
              <w:bottom w:val="single" w:sz="8" w:color="2E74B5"/>
              <w:right w:val="single" w:sz="8" w:color="2E74B5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1F4D78"/>
                <w:sz w:val="21"/>
              </w:rPr>
              <w:t>双赛道共同核心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一个真实可调用的 Agent 完成复杂金融研究任务；Injective 不是装饰层，而是数据来源、Agent 身份、按次付费和不可篡改 Receipt 的可验证基础设施。</w:t>
            </w:r>
          </w:p>
        </w:tc>
      </w:tr>
    </w:tbl>
    <w:p>
      <w:pPr>
        <w:spacing w:after="0"/>
      </w:pPr>
    </w:p>
    <w:p>
      <w:bookmarkStart w:id="50" w:name="sec4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4. MVP 范围与核心用户流程</w:t>
      </w:r>
      <w:bookmarkEnd w:id="5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4.1 范围分层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P0｜比赛必须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 Agent；S1/S2；历史回放；实时主网 paper；确定性成本/风控；Injective 数据/身份/x402/Receipt；最小 UI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P1｜强加分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Injective Exchange Precompile 测试网真实下单/撤单；更多故障注入；英文交互打磨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赛后｜Gate 控制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30 天主网影子盘；受限 API wallet / AuthZ；小额白名单 L3；更多资产与 venue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明确退出 P0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Arb Score、IPFS、多用户账户、策略商店、负 Funding 现货空头、实盘收益展示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4.2 主流程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656"/>
        <w:gridCol w:w="6912"/>
      </w:tblGrid>
      <w:tr>
        <w:trPr>
          <w:cantSplit/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01</w:t>
            </w:r>
          </w:p>
        </w:tc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Request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用户/A2A 平台提交资产、策略、时间窗与风险约束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02</w:t>
            </w:r>
          </w:p>
        </w:tc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Plan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LLM 将自然语言转换为白名单内的结构化任务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03</w:t>
            </w:r>
          </w:p>
        </w:tc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Observe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数据工具读取实时快照或选择历史窗口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04</w:t>
            </w:r>
          </w:p>
        </w:tc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Calculate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确定性引擎标准化 Funding、成本、基差、容量与总资本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05</w:t>
            </w:r>
          </w:p>
        </w:tc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Gate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风险引擎返回 ACCEPTED 或明确拒绝码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06</w:t>
            </w:r>
          </w:p>
        </w:tc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Replay / Paper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回测或双腿 paper 状态机运行并注入指定故障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07</w:t>
            </w:r>
          </w:p>
        </w:tc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Explain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LLM 忠实解释结果，不可修改数值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08</w:t>
            </w:r>
          </w:p>
        </w:tc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Anchor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完整 Receipt 入库，摘要哈希写入 Injective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09</w:t>
            </w:r>
          </w:p>
        </w:tc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Return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返回结论、证据、限制、风险提示与复现参数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4.3 三个 A2A 核心任务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104"/>
        <w:gridCol w:w="2664"/>
      </w:tblGrid>
      <w:tr>
        <w:trPr>
          <w:cantSplit/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用户意图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最低输出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TASK-01 Opportunity Discovery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比较 BTC/ETH/SOL 的 S1/S2，扣除保守成本；输出排名或暂不研究</w:t>
            </w:r>
          </w:p>
        </w:tc>
        <w:tc>
          <w:tcPr>
            <w:tcW w:type="dxa" w:w="266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候选、拒绝码、成本瀑布、数据时点</w:t>
            </w:r>
          </w:p>
        </w:tc>
      </w:tr>
      <w:tr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TASK-02 Backtest Validation</w:t>
            </w:r>
          </w:p>
        </w:tc>
        <w:tc>
          <w:tcPr>
            <w:tcW w:type="dxa" w:w="41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对指定策略回测 12–24 个月，输出数据缺口、成本归因和敏感度</w:t>
            </w:r>
          </w:p>
        </w:tc>
        <w:tc>
          <w:tcPr>
            <w:tcW w:type="dxa" w:w="266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可复现 run_id、指标、限制、分层结果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TASK-03 Failure Simulation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对候选运行 paper 并注入 Funding 反转或单腿失败</w:t>
            </w:r>
          </w:p>
        </w:tc>
        <w:tc>
          <w:tcPr>
            <w:tcW w:type="dxa" w:w="266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状态转移、补偿、PnL 归因、Receipt/tx hash</w:t>
            </w:r>
          </w:p>
        </w:tc>
      </w:tr>
    </w:tbl>
    <w:p>
      <w:pPr>
        <w:spacing w:after="0"/>
      </w:pPr>
    </w:p>
    <w:p>
      <w:bookmarkStart w:id="60" w:name="sec5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5. 策略与机会判断</w:t>
      </w:r>
      <w:bookmarkEnd w:id="6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5.1 共同定义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P0 规则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资产宇宙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BTC、ETH、SOL；必须通过 canonical_asset 映射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Venue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Binance、Bybit、Hyperliquid、Injective；每个候选显式记录 market_id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决策时点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历史：整点事件网格；实时：60 秒扫描 + Funding/市场状态事件触发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标准化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原始 rate → 每小时 rate → 目标持有期 funding；禁止只比较页面 APR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默认持有期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24 小时；同时输出 8/24/72 小时敏感度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入场原则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不确定性准备金后 Net PnL &gt; 0，且成本覆盖比 ≥ 2.0；所有阈值写入 versioned config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容量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目标名义金额不得超过两腿中更小的保守深度容量；Demo 参与率上限 5%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Delta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两腿目标名义 Delta 偏差 ≤ 0.5%；超限不得进入 HEDGED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结果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ACCEPTED / REJECTED_*；没有强制生成交易计划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5.2 S1｜同平台现货—永续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结构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做多合格现货 + 做空同基础资产正 Funding 永续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信号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目标持有期预计 Funding 收入 + 基差影响 − 全回合成本 − 风险准备金 &gt; 0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资产映射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现货与永续须映射到同一 canonical_asset；包装资产另设 wrapper_risk 标记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白名单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平台、市场、现货上市时间、成交深度与 Oracle 状态全部通过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退出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净继续持有价值 ≤ 0、Funding 翻转、基差/Delta/保证金越界、数据过期或达到最大持有期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P0 排除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负 Funding 的现货空头，因为借币、召回、费率和可得性未被完整建模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5.3 S2｜跨平台永续—永续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结构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做空标准化后高 Funding venue；做多低 Funding venue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信号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两腿目标持有期 Funding 差 − 双边开平仓成本 − 基差/滑点/恢复准备金 &gt; 0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保证金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两边预先分配权益；资金转移不进入交易热路径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市场匹配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基础资产、合约乘数、报价、结算币、Funding 周期、标记价与 Oracle 语义可比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 证据门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至少一个可演示候选包含 Injective 腿；否则 Injective 赛道闭环不成立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退出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Funding 差消失/翻转、跨 venue 基差超限、任一 venue 降级、保证金缓冲不足或到期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5.4 收益与成本口径</w:t>
      </w:r>
    </w:p>
    <w:p>
      <w:pPr>
        <w:pStyle w:val="CodeBlock"/>
        <w:keepLines/>
      </w:pPr>
      <w:r>
        <w:rPr>
          <w:rFonts w:ascii="Arial" w:hAnsi="Arial" w:eastAsia="Hiragino Sans GB"/>
          <w:color w:val="172033"/>
          <w:sz w:val="17"/>
        </w:rPr>
        <w:t>Net PnL</w:t>
        <w:br/>
      </w:r>
      <w:r>
        <w:rPr>
          <w:rFonts w:ascii="Arial" w:hAnsi="Arial" w:eastAsia="Hiragino Sans GB"/>
          <w:color w:val="172033"/>
          <w:sz w:val="17"/>
        </w:rPr>
        <w:t>= Funding PnL</w:t>
        <w:br/>
      </w:r>
      <w:r>
        <w:rPr>
          <w:rFonts w:ascii="Arial" w:hAnsi="Arial" w:eastAsia="Hiragino Sans GB"/>
          <w:color w:val="172033"/>
          <w:sz w:val="17"/>
        </w:rPr>
        <w:t>+ Basis / Spread PnL</w:t>
        <w:br/>
      </w:r>
      <w:r>
        <w:rPr>
          <w:rFonts w:ascii="Arial" w:hAnsi="Arial" w:eastAsia="Hiragino Sans GB"/>
          <w:color w:val="172033"/>
          <w:sz w:val="17"/>
        </w:rPr>
        <w:t>- Open fees - Close fees</w:t>
        <w:br/>
      </w:r>
      <w:r>
        <w:rPr>
          <w:rFonts w:ascii="Arial" w:hAnsi="Arial" w:eastAsia="Hiragino Sans GB"/>
          <w:color w:val="172033"/>
          <w:sz w:val="17"/>
        </w:rPr>
        <w:t>- Open slippage - Close slippage</w:t>
        <w:br/>
      </w:r>
      <w:r>
        <w:rPr>
          <w:rFonts w:ascii="Arial" w:hAnsi="Arial" w:eastAsia="Hiragino Sans GB"/>
          <w:color w:val="172033"/>
          <w:sz w:val="17"/>
        </w:rPr>
        <w:t>- Re-hedging cost</w:t>
        <w:br/>
      </w:r>
      <w:r>
        <w:rPr>
          <w:rFonts w:ascii="Arial" w:hAnsi="Arial" w:eastAsia="Hiragino Sans GB"/>
          <w:color w:val="172033"/>
          <w:sz w:val="17"/>
        </w:rPr>
        <w:t>- Borrow / financing cost (if applicable)</w:t>
        <w:br/>
      </w:r>
      <w:r>
        <w:rPr>
          <w:rFonts w:ascii="Arial" w:hAnsi="Arial" w:eastAsia="Hiragino Sans GB"/>
          <w:color w:val="172033"/>
          <w:sz w:val="17"/>
        </w:rPr>
        <w:t>- Margin rebalance / transfer cost</w:t>
        <w:br/>
      </w:r>
      <w:r>
        <w:rPr>
          <w:rFonts w:ascii="Arial" w:hAnsi="Arial" w:eastAsia="Hiragino Sans GB"/>
          <w:color w:val="172033"/>
          <w:sz w:val="17"/>
        </w:rPr>
        <w:t>- Builder / x402 payment cost</w:t>
        <w:br/>
      </w:r>
      <w:r>
        <w:rPr>
          <w:rFonts w:ascii="Arial" w:hAnsi="Arial" w:eastAsia="Hiragino Sans GB"/>
          <w:color w:val="172033"/>
          <w:sz w:val="17"/>
        </w:rPr>
        <w:t>- Failure / recovery cost</w:t>
        <w:br/>
      </w:r>
      <w:r>
        <w:rPr>
          <w:rFonts w:ascii="Arial" w:hAnsi="Arial" w:eastAsia="Hiragino Sans GB"/>
          <w:color w:val="172033"/>
          <w:sz w:val="17"/>
        </w:rPr>
        <w:t>- Model uncertainty reserve</w:t>
        <w:br/>
      </w:r>
      <w:r>
        <w:rPr>
          <w:rFonts w:ascii="Arial" w:hAnsi="Arial" w:eastAsia="Hiragino Sans GB"/>
          <w:color w:val="172033"/>
          <w:sz w:val="17"/>
        </w:rPr>
        <w:br/>
      </w:r>
      <w:r>
        <w:rPr>
          <w:rFonts w:ascii="Arial" w:hAnsi="Arial" w:eastAsia="Hiragino Sans GB"/>
          <w:color w:val="172033"/>
          <w:sz w:val="17"/>
        </w:rPr>
        <w:t>Strategy ROI = Net PnL / Total equity allocated across all legs</w:t>
      </w:r>
    </w:p>
    <w:p>
      <w:pPr/>
      <w:r>
        <w:rPr>
          <w:rFonts w:ascii="Arial" w:hAnsi="Arial" w:eastAsia="Hiragino Sans GB"/>
          <w:i w:val="0"/>
        </w:rPr>
        <w:t>所有界面与 API 必须分别标识：Gross mechanical APR、Modeled net APR、Realized paper PnL、Realized live PnL。比赛版不得出现 Realized live PnL。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5.5 核心拒绝码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rPr>
          <w:cantSplit/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语义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REJECTED_COST</w:t>
            </w:r>
          </w:p>
        </w:tc>
        <w:tc>
          <w:tcPr>
            <w:tcW w:type="dxa" w:w="61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保守成本或不确定性准备金吃掉预期 carry</w:t>
            </w:r>
          </w:p>
        </w:tc>
      </w:tr>
      <w:tr>
        <w:tc>
          <w:tcPr>
            <w:tcW w:type="dxa" w:w="31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REJECTED_STALE_DATA</w:t>
            </w:r>
          </w:p>
        </w:tc>
        <w:tc>
          <w:tcPr>
            <w:tcW w:type="dxa" w:w="61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任一关键快照超过 venue/字段的新鲜度阈值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REJECTED_MAPPING</w:t>
            </w:r>
          </w:p>
        </w:tc>
        <w:tc>
          <w:tcPr>
            <w:tcW w:type="dxa" w:w="61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基础资产、合约、包装资产或结算语义不可安全映射</w:t>
            </w:r>
          </w:p>
        </w:tc>
      </w:tr>
      <w:tr>
        <w:tc>
          <w:tcPr>
            <w:tcW w:type="dxa" w:w="31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REJECTED_LIQUIDITY</w:t>
            </w:r>
          </w:p>
        </w:tc>
        <w:tc>
          <w:tcPr>
            <w:tcW w:type="dxa" w:w="61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保守容量不足或滑点超过阈值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REJECTED_MARGIN</w:t>
            </w:r>
          </w:p>
        </w:tc>
        <w:tc>
          <w:tcPr>
            <w:tcW w:type="dxa" w:w="61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任一 venue 保证金缓冲不足</w:t>
            </w:r>
          </w:p>
        </w:tc>
      </w:tr>
      <w:tr>
        <w:tc>
          <w:tcPr>
            <w:tcW w:type="dxa" w:w="31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REJECTED_RISK</w:t>
            </w:r>
          </w:p>
        </w:tc>
        <w:tc>
          <w:tcPr>
            <w:tcW w:type="dxa" w:w="61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Delta、基差、Funding 翻转或风险策略不通过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REJECTED_MISSING_EVIDENCE</w:t>
            </w:r>
          </w:p>
        </w:tc>
        <w:tc>
          <w:tcPr>
            <w:tcW w:type="dxa" w:w="61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缺失费用版本、市场状态或必要历史字段</w:t>
            </w:r>
          </w:p>
        </w:tc>
      </w:tr>
      <w:tr>
        <w:tc>
          <w:tcPr>
            <w:tcW w:type="dxa" w:w="316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REJECTED_UNSUPPORTED</w:t>
            </w:r>
          </w:p>
        </w:tc>
        <w:tc>
          <w:tcPr>
            <w:tcW w:type="dxa" w:w="61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用户请求超出 BTC/ETH/SOL、S1/S2 或比赛版权限边界</w:t>
            </w:r>
          </w:p>
        </w:tc>
      </w:tr>
    </w:tbl>
    <w:p>
      <w:pPr>
        <w:spacing w:after="0"/>
      </w:pPr>
    </w:p>
    <w:p>
      <w:bookmarkStart w:id="70" w:name="sec6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6. 数据、回测与模拟环境</w:t>
      </w:r>
      <w:bookmarkEnd w:id="7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6.1 当前可用数据资产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2024-07-24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窗口开始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2026-07-24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窗口结束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E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47,858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合格 S1 事件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Hiragino Sans GB"/>
                <w:b/>
                <w:color w:val="38278B"/>
                <w:sz w:val="32"/>
              </w:rPr>
              <w:t>52,437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color w:val="596579"/>
                <w:sz w:val="17"/>
              </w:rPr>
              <w:t>合格 S2 小时机会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4824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Funding events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65,697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Binance / Bybit / Hyperliquid；BTC/ETH/SOL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S1 面板</w:t>
            </w:r>
          </w:p>
        </w:tc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48,166 总；47,858 合格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用于同平台现货—永续候选原型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S2 面板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52,560 总；52,437 合格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用于跨平台每小时机会原型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完整性</w:t>
            </w:r>
          </w:p>
        </w:tc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无重复主键；无同 venue 伪跨平台腿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独立验证通过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已知缺口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Hyperliquid 3 个 2 小时时间缺口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2024-08-15 12→14 UTC；不得补 0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毛 APR 描述</w:t>
            </w:r>
          </w:p>
        </w:tc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中位数 9.25%；P95 32.68%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仅为原始机会分布，绝非净收益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F"/>
            <w:tcBorders>
              <w:top w:val="single" w:sz="8" w:color="9A6700"/>
              <w:left w:val="single" w:sz="18" w:color="9A6700"/>
              <w:bottom w:val="single" w:sz="8" w:color="9A6700"/>
              <w:right w:val="single" w:sz="8" w:color="9A6700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9A6700"/>
                <w:sz w:val="21"/>
              </w:rPr>
              <w:t>关键限制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当前历史跨平台信号使用“当时最近已实现 Funding”，不是当时 UI 的 predicted Funding；不存在完整历史 predicted funding 快照和完整 L2 队列。Hyperliquid 现货为UBTC/UETH/USOL 等包装资产，且上市期较晚。以上限制必须进入每次回测报告。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6.2 防未来函数与时间语义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所有原始记录保存 observed_at、effective_at、settlement_at、ingested_at。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已实现 Funding 只能在结算确认后用于下一决策时点；不得让结算前回放读取最终 rate。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Predicted Funding 仅能使用实时采集的不可变快照；不得由事后已实现值回填。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K 线只使用已闭合 bar；市场状态、费率、手续费、tick/lot 与保证金规则按历史版本加载。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数据缺失保持 missing；不前向填充为 0，不为上市前资产补齐，不用当前可交易宇宙替代历史宇宙。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任何低于字段级质量门的回测仍可运行，但结果状态必须为 PARTIAL，不得进入 Pitch 主结论。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6.3 三个环境共用策略代码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92"/>
        <w:gridCol w:w="2592"/>
        <w:gridCol w:w="2376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能证明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不能证明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Historical Replay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资金费、价格、规则、成本的事件回放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策略逻辑、费率持续性、成本后结果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真实排队、网络故障、历史 predicted funding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Mainnet Shadow</w:t>
            </w:r>
          </w:p>
        </w:tc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读取真实主网数据但绝不签名/下单</w:t>
            </w:r>
          </w:p>
        </w:tc>
        <w:tc>
          <w:tcPr>
            <w:tcW w:type="dxa" w:w="25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实时 predicted、BBO/L2、延迟、paper 双腿</w:t>
            </w:r>
          </w:p>
        </w:tc>
        <w:tc>
          <w:tcPr>
            <w:tcW w:type="dxa" w:w="23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真实拒单、真实资金约束、真实滑点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Testnet Integration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签名、撤单、合约、权限、回执联调</w:t>
            </w:r>
          </w:p>
        </w:tc>
        <w:tc>
          <w:tcPr>
            <w:tcW w:type="dxa" w:w="25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接口、状态机、密钥隔离、链上证据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主网盈利、容量、真实 Funding 行为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6.4 最低回测输出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Funding PnL、基差/价差 PnL、开平仓手续费、滑点、再平衡与恢复成本、净 PnL。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以两腿总权益为分母的 ROI、最大回撤、持有期、费率翻转率、盈亏平衡时间。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最大未对冲时间、容量、Delta 偏差、保证金压力与失败/恢复事件。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按资产、venue、策略、市场状态分层；8/24/72 小时敏感度。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Walk-forward、手续费/滑点 ×1.5/×2 压力、Funding 突然归零/翻转和缺口压力。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run_id、dataset_version、engine_version、config_hash、Git commit 与生成时间。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6.5 24/7 采集器（与开发并行）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3384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最低频率/规则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Funding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realized + predicted 快照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venue 原生频率；至少每 60 秒抓预测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盘口</w:t>
            </w:r>
          </w:p>
        </w:tc>
        <w:tc>
          <w:tcPr>
            <w:tcW w:type="dxa" w:w="43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BBO + L2 分档</w:t>
            </w:r>
          </w:p>
        </w:tc>
        <w:tc>
          <w:tcPr>
            <w:tcW w:type="dxa" w:w="33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1–5 秒，超限降级为 stale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市场元数据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tick/lot、fees、leverage、funding interval、status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变更事件 + 每小时校验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账户/模拟</w:t>
            </w:r>
          </w:p>
        </w:tc>
        <w:tc>
          <w:tcPr>
            <w:tcW w:type="dxa" w:w="43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paper orders、fills、position、margin、latency</w:t>
            </w:r>
          </w:p>
        </w:tc>
        <w:tc>
          <w:tcPr>
            <w:tcW w:type="dxa" w:w="33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事件驱动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可用性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429/5xx、断连、恢复、时钟偏差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每次事件</w:t>
            </w:r>
          </w:p>
        </w:tc>
      </w:tr>
    </w:tbl>
    <w:p>
      <w:pPr>
        <w:spacing w:after="0"/>
      </w:pPr>
    </w:p>
    <w:p>
      <w:bookmarkStart w:id="80" w:name="sec7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7. AI Agent 与 A2A 需求</w:t>
      </w:r>
      <w:bookmarkEnd w:id="8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7.1 AI 与确定性边界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04"/>
        <w:gridCol w:w="3312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负责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禁止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LLM / Planner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理解意图、补齐任务约束、选择工具、组织解释、生成双语报告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不得计算最终 PnL、修改风控结果或生成签名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Data Tools</w:t>
            </w:r>
          </w:p>
        </w:tc>
        <w:tc>
          <w:tcPr>
            <w:tcW w:type="dxa" w:w="41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读取授权数据、返回带来源/时点的标准化输入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不得隐藏缺口或用训练记忆替代实时数据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Opportunity Engine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费率归一化、成本/资本/容量计算、候选排序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仅接受 versioned config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Risk Engine</w:t>
            </w:r>
          </w:p>
        </w:tc>
        <w:tc>
          <w:tcPr>
            <w:tcW w:type="dxa" w:w="41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硬门、拒绝码、风险状态、Kill Switch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LLM 无权覆盖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Replay/Paper Engine</w:t>
            </w:r>
          </w:p>
        </w:tc>
        <w:tc>
          <w:tcPr>
            <w:tcW w:type="dxa" w:w="41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事件回放、订单/成交模拟、状态机、PnL 归因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与策略代码同源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Receipt Service</w:t>
            </w:r>
          </w:p>
        </w:tc>
        <w:tc>
          <w:tcPr>
            <w:tcW w:type="dxa" w:w="41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生成不可变记录、哈希、链上摘要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不声明外部 venue 成交真实性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7.2 Agent Card 最低字段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identity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name、description、version、operator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endpoint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 service URL、health URL、authentication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modes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input/output MIME、streaming、timeout、locale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skills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opportunity_discovery、backtest_validation、failure_simulation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constraints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BTC/ETH/SOL、S1/S2、paper_only、supported venues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provenance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engine_version、data limitations、code repository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risk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disclaimer、no-live-funds、no-investment-advice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7.3 A2A I/O 契约</w:t>
      </w:r>
    </w:p>
    <w:p>
      <w:pPr>
        <w:pStyle w:val="CodeBlock"/>
        <w:keepLines/>
      </w:pPr>
      <w:r>
        <w:rPr>
          <w:rFonts w:ascii="Arial" w:hAnsi="Arial" w:eastAsia="Hiragino Sans GB"/>
          <w:color w:val="172033"/>
          <w:sz w:val="17"/>
        </w:rPr>
        <w:t>Request {</w:t>
        <w:br/>
      </w:r>
      <w:r>
        <w:rPr>
          <w:rFonts w:ascii="Arial" w:hAnsi="Arial" w:eastAsia="Hiragino Sans GB"/>
          <w:color w:val="172033"/>
          <w:sz w:val="17"/>
        </w:rPr>
        <w:t xml:space="preserve">  taskType: "OPPORTUNITY" | "BACKTEST" | "FAILURE_SIM",</w:t>
        <w:br/>
      </w:r>
      <w:r>
        <w:rPr>
          <w:rFonts w:ascii="Arial" w:hAnsi="Arial" w:eastAsia="Hiragino Sans GB"/>
          <w:color w:val="172033"/>
          <w:sz w:val="17"/>
        </w:rPr>
        <w:t xml:space="preserve">  assets: ["BTC","ETH","SOL"],</w:t>
        <w:br/>
      </w:r>
      <w:r>
        <w:rPr>
          <w:rFonts w:ascii="Arial" w:hAnsi="Arial" w:eastAsia="Hiragino Sans GB"/>
          <w:color w:val="172033"/>
          <w:sz w:val="17"/>
        </w:rPr>
        <w:t xml:space="preserve">  strategies: ["SPOT_PERP","PERP_PERP"],</w:t>
        <w:br/>
      </w:r>
      <w:r>
        <w:rPr>
          <w:rFonts w:ascii="Arial" w:hAnsi="Arial" w:eastAsia="Hiragino Sans GB"/>
          <w:color w:val="172033"/>
          <w:sz w:val="17"/>
        </w:rPr>
        <w:t xml:space="preserve">  venues?: string[],</w:t>
        <w:br/>
      </w:r>
      <w:r>
        <w:rPr>
          <w:rFonts w:ascii="Arial" w:hAnsi="Arial" w:eastAsia="Hiragino Sans GB"/>
          <w:color w:val="172033"/>
          <w:sz w:val="17"/>
        </w:rPr>
        <w:t xml:space="preserve">  window?: { start, end },</w:t>
        <w:br/>
      </w:r>
      <w:r>
        <w:rPr>
          <w:rFonts w:ascii="Arial" w:hAnsi="Arial" w:eastAsia="Hiragino Sans GB"/>
          <w:color w:val="172033"/>
          <w:sz w:val="17"/>
        </w:rPr>
        <w:t xml:space="preserve">  horizonHours?: 8 | 24 | 72,</w:t>
        <w:br/>
      </w:r>
      <w:r>
        <w:rPr>
          <w:rFonts w:ascii="Arial" w:hAnsi="Arial" w:eastAsia="Hiragino Sans GB"/>
          <w:color w:val="172033"/>
          <w:sz w:val="17"/>
        </w:rPr>
        <w:t xml:space="preserve">  scenario?: { fundingShock, legFailure, latencyMs },</w:t>
        <w:br/>
      </w:r>
      <w:r>
        <w:rPr>
          <w:rFonts w:ascii="Arial" w:hAnsi="Arial" w:eastAsia="Hiragino Sans GB"/>
          <w:color w:val="172033"/>
          <w:sz w:val="17"/>
        </w:rPr>
        <w:t xml:space="preserve">  locale?: "zh-CN" | "en"</w:t>
        <w:br/>
      </w:r>
      <w:r>
        <w:rPr>
          <w:rFonts w:ascii="Arial" w:hAnsi="Arial" w:eastAsia="Hiragino Sans GB"/>
          <w:color w:val="172033"/>
          <w:sz w:val="17"/>
        </w:rPr>
        <w:t>}</w:t>
        <w:br/>
      </w:r>
      <w:r>
        <w:rPr>
          <w:rFonts w:ascii="Arial" w:hAnsi="Arial" w:eastAsia="Hiragino Sans GB"/>
          <w:color w:val="172033"/>
          <w:sz w:val="17"/>
        </w:rPr>
        <w:br/>
      </w:r>
      <w:r>
        <w:rPr>
          <w:rFonts w:ascii="Arial" w:hAnsi="Arial" w:eastAsia="Hiragino Sans GB"/>
          <w:color w:val="172033"/>
          <w:sz w:val="17"/>
        </w:rPr>
        <w:t>Response {</w:t>
        <w:br/>
      </w:r>
      <w:r>
        <w:rPr>
          <w:rFonts w:ascii="Arial" w:hAnsi="Arial" w:eastAsia="Hiragino Sans GB"/>
          <w:color w:val="172033"/>
          <w:sz w:val="17"/>
        </w:rPr>
        <w:t xml:space="preserve">  taskId, status, conclusion, candidates[], rejectionCodes[],</w:t>
        <w:br/>
      </w:r>
      <w:r>
        <w:rPr>
          <w:rFonts w:ascii="Arial" w:hAnsi="Arial" w:eastAsia="Hiragino Sans GB"/>
          <w:color w:val="172033"/>
          <w:sz w:val="17"/>
        </w:rPr>
        <w:t xml:space="preserve">  metrics{}, assumptions[], limitations[], sources[],</w:t>
        <w:br/>
      </w:r>
      <w:r>
        <w:rPr>
          <w:rFonts w:ascii="Arial" w:hAnsi="Arial" w:eastAsia="Hiragino Sans GB"/>
          <w:color w:val="172033"/>
          <w:sz w:val="17"/>
        </w:rPr>
        <w:t xml:space="preserve">  runId, engineVersion, configHash, receipt?, riskDisclaimer</w:t>
        <w:br/>
      </w:r>
      <w:r>
        <w:rPr>
          <w:rFonts w:ascii="Arial" w:hAnsi="Arial" w:eastAsia="Hiragino Sans GB"/>
          <w:color w:val="172033"/>
          <w:sz w:val="17"/>
        </w:rPr>
        <w:t>}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7.4 Agent 质量门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三类任务各连续运行 5 次；全部返回可解析结构，且相同输入的确定性字段一致。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P95 &lt; 90 秒；硬上限 &lt; 20 分钟；超时返回 TIMEOUT_PARTIAL，不得伪造完整结果。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数据来源、observed_at、假设、限制、dataset/config/engine 版本全部可追溯。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任何风险门失败时不得产生执行计划；无合格机会时必须自然语言解释拒绝原因。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评审期间 Agent Card、health、A2A endpoint 稳定在线；健康检查不触发付费或链上写操作。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模型层固定记录 DeepSeek V4 pro 的 provider/model identifier；模型不可绕过工具权限。</w:t>
      </w:r>
    </w:p>
    <w:p>
      <w:bookmarkStart w:id="90" w:name="sec8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8. 系统架构与组件边界</w:t>
      </w:r>
      <w:bookmarkEnd w:id="9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8.1 逻辑架构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3888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责任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1. Experience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Web Demo / A2A Client / Judge Platform</w:t>
            </w:r>
          </w:p>
        </w:tc>
        <w:tc>
          <w:tcPr>
            <w:tcW w:type="dxa" w:w="38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自然语言任务、候选与证据展示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2. Agent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 Server / Planner / Report Composer</w:t>
            </w:r>
          </w:p>
        </w:tc>
        <w:tc>
          <w:tcPr>
            <w:tcW w:type="dxa" w:w="38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结构化任务与解释；无交易签名权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3. Data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Venue Adapters / Collector / Normalizer</w:t>
            </w:r>
          </w:p>
        </w:tc>
        <w:tc>
          <w:tcPr>
            <w:tcW w:type="dxa" w:w="38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实时/历史数据、来源、版本、质量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4. Intelligence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Opportunity / Cost / Risk Engine</w:t>
            </w:r>
          </w:p>
        </w:tc>
        <w:tc>
          <w:tcPr>
            <w:tcW w:type="dxa" w:w="38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确定性计算、拒绝码、候选排序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5. Simulation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Replay / Paper Executor / Unified Ledger</w:t>
            </w:r>
          </w:p>
        </w:tc>
        <w:tc>
          <w:tcPr>
            <w:tcW w:type="dxa" w:w="38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订单事件、状态机、PnL、故障注入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6. Injective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MCP/SDK / ERC-8004 / x402 / ReceiptAnchor</w:t>
            </w:r>
          </w:p>
        </w:tc>
        <w:tc>
          <w:tcPr>
            <w:tcW w:type="dxa" w:w="38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市场数据、身份、付费与链上证据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7. Platform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PostgreSQL / Queue / Secrets / Observability</w:t>
            </w:r>
          </w:p>
        </w:tc>
        <w:tc>
          <w:tcPr>
            <w:tcW w:type="dxa" w:w="38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持久化、任务、密钥、日志与指标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8.2 建议技术栈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96"/>
        <w:gridCol w:w="4608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Web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Next.js + React + TypeScript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双语、响应式、最小 4 屏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Agent/API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Node.js + TypeScript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A2A、x402、Injective SDK/MCP 更一致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Research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Python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回测、数据质量、统计；通过稳定 API 与 Node 交互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Storage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PostgreSQL + object storage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事件、快照、run/receipt；不在 P0 上 IPFS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Queue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Redis-compatible queue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 长任务、重试、幂等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EVM testnet + native indexer/MCP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首次参赛优先 EVM；真实市场数据来自官方接口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Contracts</w:t>
            </w:r>
          </w:p>
        </w:tc>
        <w:tc>
          <w:tcPr>
            <w:tcW w:type="dxa" w:w="309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Solidity + Foundry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最小 ReceiptAnchor；Exchange Precompile 为 P1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Observability</w:t>
            </w:r>
          </w:p>
        </w:tc>
        <w:tc>
          <w:tcPr>
            <w:tcW w:type="dxa" w:w="309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OpenTelemetry + structured logs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task/run/receipt/tx 全链路关联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8.3 组件接口原则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所有适配器返回统一 schema；venue 原始 payload 以 content hash 保留，不直接暴露 secrets。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策略、成本、风险与 paper 引擎均为纯函数优先；输入和配置可序列化、可回放。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A2A 任务使用 task_id；回测使用 run_id；paper 使用 strategy_id；链上使用 tx_hash。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任何写操作要求 idempotency_key；重复请求必须返回原结果或安全拒绝。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主网数据读取与测试网写入使用不同配置、不同钱包、不同网络标签；启动时强校验。</w:t>
      </w:r>
    </w:p>
    <w:p>
      <w:bookmarkStart w:id="100" w:name="sec9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9. Injective 产品集成</w:t>
      </w:r>
      <w:bookmarkEnd w:id="10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9.1 选定路径：EVM-first + Native Market Data</w:t>
      </w:r>
    </w:p>
    <w:p>
      <w:pPr/>
      <w:r>
        <w:rPr>
          <w:rFonts w:ascii="Arial" w:hAnsi="Arial" w:eastAsia="Hiragino Sans GB"/>
          <w:i w:val="0"/>
        </w:rPr>
        <w:t>Info Session 明确允许 EVM、CosmWasm、SDK 等不同路径，并建议首次参赛优先 EVM。CarryPilot 选择 EVM-first 作为链上身份、x402 与 Receipt 的落地层，同时使用Injective MCP/Indexer/Trading Market Data 获取永续市场、Funding、spread 与元数据。这既形成真实 Injective 产品价值，也避免为了“上链”重写整个交易引擎。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9.2 P0 集成清单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24"/>
        <w:gridCol w:w="2448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可验收证据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INJ-01 Market Data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活跃永续市场、oracle、spread、funding、tick/min notional/max leverage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标准化快照、source URL、observed_at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INJ-02 Candidate Leg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S2 至少出现一个包含 Injective 的候选；无合格机会可返回拒绝</w:t>
            </w:r>
          </w:p>
        </w:tc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候选/拒绝 JSON + run_id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INJ-03 ERC-8004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用 Injective Agent CLI 在测试网注册 CarryPilot 身份与服务 metadata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tokenId、owner、registry URL/tx hash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INJ-04 x402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以 0.01 USDC 保护“完整回测报告”测试端点；评审核心任务保持免费</w:t>
            </w:r>
          </w:p>
        </w:tc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402 quote、payment receipt、API response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INJ-05 ReceiptAnchor</w:t>
            </w:r>
          </w:p>
        </w:tc>
        <w:tc>
          <w:tcPr>
            <w:tcW w:type="dxa" w:w="482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纸面策略结束后，将 receipt_hash/schema/engine/version 写入测试网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合约地址、tx hash、本地原文 hash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INJ-06 Explorer Evidence</w:t>
            </w:r>
          </w:p>
        </w:tc>
        <w:tc>
          <w:tcPr>
            <w:tcW w:type="dxa" w:w="482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UI 显示可点击测试网浏览器链接和匹配校验</w:t>
            </w:r>
          </w:p>
        </w:tc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现场可查询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9.3 AInj、Agent CLI、x402 的正确边界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960"/>
        <w:gridCol w:w="2952"/>
      </w:tblGrid>
      <w:tr>
        <w:trPr>
          <w:cantSplit/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产品边界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@injectivelabs/ainj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打包 CLI、MCP servers 与 Agent Skills；配置 Codex/Claude 等 harness</w:t>
            </w:r>
          </w:p>
        </w:tc>
        <w:tc>
          <w:tcPr>
            <w:tcW w:type="dxa" w:w="29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开发工具，不等于产品身份</w:t>
            </w:r>
          </w:p>
        </w:tc>
      </w:tr>
      <w:tr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Injective MCP + Trading Skills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查询/交易 Injective；P0 使用 market-data/account 读能力</w:t>
            </w:r>
          </w:p>
        </w:tc>
        <w:tc>
          <w:tcPr>
            <w:tcW w:type="dxa" w:w="29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生产运行依赖需固定版本并限制写权限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Injective Agent CLI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注册、更新、查询 ERC-8004 身份</w:t>
            </w:r>
          </w:p>
        </w:tc>
        <w:tc>
          <w:tcPr>
            <w:tcW w:type="dxa" w:w="29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独立测试网 key；不可与主钱包混用</w:t>
            </w:r>
          </w:p>
        </w:tc>
      </w:tr>
      <w:tr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@injectivelabs/x402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将 USDC 付款嵌入 HTTP 402 流程</w:t>
            </w:r>
          </w:p>
        </w:tc>
        <w:tc>
          <w:tcPr>
            <w:tcW w:type="dxa" w:w="29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只保护可选付费报告，不阻断评审任务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ReceiptAnchor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最小合约存摘要和哈希</w:t>
            </w:r>
          </w:p>
        </w:tc>
        <w:tc>
          <w:tcPr>
            <w:tcW w:type="dxa" w:w="29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不存完整策略数据，不宣称验证外部成交</w:t>
            </w:r>
          </w:p>
        </w:tc>
      </w:tr>
      <w:tr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Exchange Precompile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下单/撤单/仓位/授权</w:t>
            </w:r>
          </w:p>
        </w:tc>
        <w:tc>
          <w:tcPr>
            <w:tcW w:type="dxa" w:w="29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P1 强加分；通过后也只证明测试网集成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9.4 开发环境与安全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AInj</w:t>
            </w:r>
          </w:p>
        </w:tc>
        <w:tc>
          <w:tcPr>
            <w:tcW w:type="dxa" w:w="72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Node 24+、npm 11+、Git 2.53+；ainj install/status/skills 验证</w:t>
            </w:r>
          </w:p>
        </w:tc>
      </w:tr>
      <w:tr>
        <w:tc>
          <w:tcPr>
            <w:tcW w:type="dxa" w:w="21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Agent CLI</w:t>
            </w:r>
          </w:p>
        </w:tc>
        <w:tc>
          <w:tcPr>
            <w:tcW w:type="dxa" w:w="72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Node 18+；测试网 INJ；独立 EVM 私钥；密钥不写入仓库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MCP</w:t>
            </w:r>
          </w:p>
        </w:tc>
        <w:tc>
          <w:tcPr>
            <w:tcW w:type="dxa" w:w="72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默认 Main 3001、Docs 3002，可由配置覆盖；本地监听，不对公网裸露</w:t>
            </w:r>
          </w:p>
        </w:tc>
      </w:tr>
      <w:tr>
        <w:tc>
          <w:tcPr>
            <w:tcW w:type="dxa" w:w="21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x402</w:t>
            </w:r>
          </w:p>
        </w:tc>
        <w:tc>
          <w:tcPr>
            <w:tcW w:type="dxa" w:w="72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测试网钱包、USDC/INJ、facilitator；每次支付与 API task 关联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EVM</w:t>
            </w:r>
          </w:p>
        </w:tc>
        <w:tc>
          <w:tcPr>
            <w:tcW w:type="dxa" w:w="72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网络/chainId/contract/address 在启动时强校验；测试网/主网配置完全分离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tcBorders>
              <w:top w:val="single" w:sz="8" w:color="2E74B5"/>
              <w:left w:val="single" w:sz="18" w:color="2E74B5"/>
              <w:bottom w:val="single" w:sz="8" w:color="2E74B5"/>
              <w:right w:val="single" w:sz="8" w:color="2E74B5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1F4D78"/>
                <w:sz w:val="21"/>
              </w:rPr>
              <w:t>P1 强加分项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若核心闭环完成，再通过 Exchange Precompile 在 Injective 测试网放置并撤销一笔白名单小额衍生品订单，记录 order hash、position query 与授权/撤销证据。该功能不得阻塞 P0，也不得被描述为收益验证。</w:t>
            </w:r>
          </w:p>
        </w:tc>
      </w:tr>
    </w:tbl>
    <w:p>
      <w:pPr>
        <w:spacing w:after="0"/>
      </w:pPr>
    </w:p>
    <w:p>
      <w:bookmarkStart w:id="110" w:name="sec10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10. Paper 执行、状态机与 Receipt</w:t>
      </w:r>
      <w:bookmarkEnd w:id="11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10.1 状态协议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3312"/>
      </w:tblGrid>
      <w:tr>
        <w:trPr>
          <w:cantSplit/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允许动作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DISCOVERED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候选由 Opportunity Engine 生成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进入质量与风险校验</w:t>
            </w:r>
          </w:p>
        </w:tc>
      </w:tr>
      <w:tr>
        <w:tc>
          <w:tcPr>
            <w:tcW w:type="dxa" w:w="223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VALIDATED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映射、数据、成本、风险通过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生成双腿 quote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QUOTED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两腿数量、价格、费用与容量冻结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保留 paper 资源与幂等键</w:t>
            </w:r>
          </w:p>
        </w:tc>
      </w:tr>
      <w:tr>
        <w:tc>
          <w:tcPr>
            <w:tcW w:type="dxa" w:w="223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RESERVED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run/ledger 已创建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提交 Leg A 模拟订单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LEG_A_PENDING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Leg A 未完成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填单、超时、撤单或进入 RECOVERY</w:t>
            </w:r>
          </w:p>
        </w:tc>
      </w:tr>
      <w:tr>
        <w:tc>
          <w:tcPr>
            <w:tcW w:type="dxa" w:w="223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LEG_B_PENDING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Leg B 未完成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填单、超时、撤单或进入 RECOVERY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HEDGED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名义 Delta 在容忍范围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进入持仓监控</w:t>
            </w:r>
          </w:p>
        </w:tc>
      </w:tr>
      <w:tr>
        <w:tc>
          <w:tcPr>
            <w:tcW w:type="dxa" w:w="223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MONITORING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持续更新 Funding、基差、PnL、保证金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退出条件触发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EXIT_PENDING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双腿退出指令已创建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完成/补偿/人工接管</w:t>
            </w:r>
          </w:p>
        </w:tc>
      </w:tr>
      <w:tr>
        <w:tc>
          <w:tcPr>
            <w:tcW w:type="dxa" w:w="223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CLOSED</w:t>
            </w:r>
          </w:p>
        </w:tc>
        <w:tc>
          <w:tcPr>
            <w:tcW w:type="dxa" w:w="38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两腿结束且账本对齐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生成最终 Receipt</w:t>
            </w:r>
          </w:p>
        </w:tc>
      </w:tr>
      <w:tr>
        <w:tc>
          <w:tcPr>
            <w:tcW w:type="dxa" w:w="223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异常</w:t>
            </w:r>
          </w:p>
        </w:tc>
        <w:tc>
          <w:tcPr>
            <w:tcW w:type="dxa" w:w="38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REJECTED / CANCELLED / RECOVERY / MANUAL_INTERVENTION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停止新风险并记录原因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10.2 双腿与恢复规则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Leg A/Leg B 的先后顺序由确定性规则选择：先执行更难成交/更高风险腿，并在 run config 中记录。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部分成交后，另一腿只对已成交量对冲；不得按原目标名义盲目补齐。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未对冲时间超过 max_unhedged_ms 时进入 RECOVERY，撤销未成交、按成本最低的安全动作减敞口。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重试必须复用 idempotency_key；同一订单意图不可产生多个有效模拟订单。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任何本地账本、venue snapshot、position 不一致都进入 MANUAL_INTERVENTION；比赛版停止该任务。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Funding 翻转并不自动止损；先重新计算“继续持有 vs. 退出”的确定性净值，再按风险门决定。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10.3 Execution Receipt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Identity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schemaVersion、strategyId、taskId、runId、decisionTime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Provenance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dataSnapshotHash、datasetVersion、engineVersion、configHash、gitCommit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Plan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strategy、venue/market/asset、side、notional、horizon、quotes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Events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orders、fills、timeouts、retries、stateTransitions、failureInjection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Economics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funding、fees、slippage、basis、recoveryCost、netPnl、totalEquity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Risk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riskDecisions、rejectionCodes、maxDelta、maxUnhedgedMs、marginStress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Final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finalStatus、createdAt、localRecordHash、chainTxHash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Hiragino Sans GB"/>
          <w:i w:val="0"/>
        </w:rPr>
        <w:t>链上只保存 schemaVersion、strategyId、engineVersion、finalStatus、localRecordHash 等摘要。完整 Receipt 留在数据库；UI 重新计算 hash 并与链上值比对。</w:t>
      </w:r>
    </w:p>
    <w:p>
      <w:bookmarkStart w:id="120" w:name="sec11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11. 风控、安全与合规</w:t>
      </w:r>
      <w:bookmarkEnd w:id="12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11.1 市场与策略风险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cantSplit/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硬规则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数据过期/断连</w:t>
            </w:r>
          </w:p>
        </w:tc>
        <w:tc>
          <w:tcPr>
            <w:tcW w:type="dxa" w:w="70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禁止新 candidate；已有 paper 标记 degraded；恢复后做快照对账</w:t>
            </w:r>
          </w:p>
        </w:tc>
      </w:tr>
      <w:tr>
        <w:tc>
          <w:tcPr>
            <w:tcW w:type="dxa" w:w="23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Funding 翻转</w:t>
            </w:r>
          </w:p>
        </w:tc>
        <w:tc>
          <w:tcPr>
            <w:tcW w:type="dxa" w:w="70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重新计算继续持有价值；若风险/净值不通过则退出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基差异常</w:t>
            </w:r>
          </w:p>
        </w:tc>
        <w:tc>
          <w:tcPr>
            <w:tcW w:type="dxa" w:w="70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超出配置阈值进入 EXIT_PENDING；记录 stress PnL</w:t>
            </w:r>
          </w:p>
        </w:tc>
      </w:tr>
      <w:tr>
        <w:tc>
          <w:tcPr>
            <w:tcW w:type="dxa" w:w="23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流动性不足</w:t>
            </w:r>
          </w:p>
        </w:tc>
        <w:tc>
          <w:tcPr>
            <w:tcW w:type="dxa" w:w="70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降低容量或 REJECTED_LIQUIDITY；不外推未观测深度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包装资产</w:t>
            </w:r>
          </w:p>
        </w:tc>
        <w:tc>
          <w:tcPr>
            <w:tcW w:type="dxa" w:w="70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wrapper 白名单、上市时间、脱锚/流动性门；不等同原生资产</w:t>
            </w:r>
          </w:p>
        </w:tc>
      </w:tr>
      <w:tr>
        <w:tc>
          <w:tcPr>
            <w:tcW w:type="dxa" w:w="23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保证金隔离</w:t>
            </w:r>
          </w:p>
        </w:tc>
        <w:tc>
          <w:tcPr>
            <w:tcW w:type="dxa" w:w="70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按 venue 单独压力测试；方向中性不可抵销单 venue 强平风险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单腿失败</w:t>
            </w:r>
          </w:p>
        </w:tc>
        <w:tc>
          <w:tcPr>
            <w:tcW w:type="dxa" w:w="70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进入 RECOVERY；停止新策略；撤单/反向减仓/人工接管</w:t>
            </w:r>
          </w:p>
        </w:tc>
      </w:tr>
      <w:tr>
        <w:tc>
          <w:tcPr>
            <w:tcW w:type="dxa" w:w="230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规则变更</w:t>
            </w:r>
          </w:p>
        </w:tc>
        <w:tc>
          <w:tcPr>
            <w:tcW w:type="dxa" w:w="70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市场元数据版本变化触发配置失效与重算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11.2 密钥、权限与写操作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主钱包私钥永不进入服务端；所有测试网 Agent/x402/合约 key 与个人钱包隔离。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Secrets 只来自环境变量或密钥服务；日志、Receipt、错误栈不得出现私钥、token、完整签名。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所有链上写操作默认 testnet；网络不匹配时进程拒绝启动。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x402、ERC-8004、Receipt 采用不同最小权限账户或明确的 spend limit。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未来 L3 仅允许可撤销、按资产/动作/名义金额/有效期约束的 API Wallet 或 AuthZ。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所有写操作有 idempotency key、审计事件、交易哈希、失败码与人工 Kill Switch。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11.3 合规输出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top w:val="single" w:sz="8" w:color="B42318"/>
              <w:left w:val="single" w:sz="1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B42318"/>
                <w:sz w:val="21"/>
              </w:rPr>
              <w:t>固定风险提示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本结果用于研究与模拟，不构成投资建议、收益承诺、荐币、代客理财或适合性判断。资金费率、基差、滑点、流动性和保证金风险可能快速变化；历史与 paper 结果不代表未来表现。</w:t>
            </w:r>
          </w:p>
        </w:tc>
      </w:tr>
    </w:tbl>
    <w:p>
      <w:pPr>
        <w:spacing w:after="0"/>
      </w:pPr>
    </w:p>
    <w:p>
      <w:pPr>
        <w:pStyle w:val="ListBullet"/>
        <w:spacing w:after="80"/>
      </w:pPr>
      <w:r>
        <w:rPr>
          <w:rFonts w:ascii="Arial" w:hAnsi="Arial" w:eastAsia="Hiragino Sans GB"/>
        </w:rPr>
        <w:t>面向外部统一使用“研究结论”“paper-trade candidate”，不使用“稳赚”“无风险套利”“下单建议”。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Pitch 图表必须标注 gross / modeled / paper 口径、样本窗口、成本是否完整及数据限制。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第三方数据、模型、API、开源代码均保留许可证和授权记录；PandaAI 数据不得移作赛外用途。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不保存不必要的用户身份/联系方式；评审鉴权 token 只用于任务调用。</w:t>
      </w:r>
    </w:p>
    <w:p>
      <w:bookmarkStart w:id="130" w:name="sec12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12. 体验、Demo 与提交物</w:t>
      </w:r>
      <w:bookmarkEnd w:id="13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12.1 最小产品界面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3312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屏幕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可信设计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01 Scan</w:t>
            </w:r>
          </w:p>
        </w:tc>
        <w:tc>
          <w:tcPr>
            <w:tcW w:type="dxa" w:w="43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资产/策略/venue 过滤；候选或“无合格机会”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数据时间、新鲜度、Gross/Net 分离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02 Candidate</w:t>
            </w:r>
          </w:p>
        </w:tc>
        <w:tc>
          <w:tcPr>
            <w:tcW w:type="dxa" w:w="43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两腿、成本瀑布、容量、失效条件与拒绝原因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点击查看原始来源/配置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03 Replay / Paper</w:t>
            </w:r>
          </w:p>
        </w:tc>
        <w:tc>
          <w:tcPr>
            <w:tcW w:type="dxa" w:w="43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回测指标或状态机时间线；故障注入按钮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运行不可改参数、run_id</w:t>
            </w:r>
          </w:p>
        </w:tc>
      </w:tr>
      <w:tr>
        <w:tc>
          <w:tcPr>
            <w:tcW w:type="dxa" w:w="165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04 Evidence</w:t>
            </w:r>
          </w:p>
        </w:tc>
        <w:tc>
          <w:tcPr>
            <w:tcW w:type="dxa" w:w="43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Agent Card、Injective identity、x402、Receipt、tx hash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公开可查询链接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12.2 90 秒 Injective Demo 故事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画面与旁白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0–15s｜Problem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高 Funding 不等于净收益；跨 venue 双腿与保证金风险难统一</w:t>
            </w:r>
          </w:p>
        </w:tc>
      </w:tr>
      <w:tr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15–40s｜Product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A2A 请求 → 机会引擎 → 成本/风控；展示 ACCEPTED 或可信拒绝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40–70s｜On-chain</w:t>
            </w:r>
          </w:p>
        </w:tc>
        <w:tc>
          <w:tcPr>
            <w:tcW w:type="dxa" w:w="69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Injective 市场腿、ERC-8004、x402 或 Receipt tx hash/Explorer</w:t>
            </w:r>
          </w:p>
        </w:tc>
      </w:tr>
      <w:tr>
        <w:tc>
          <w:tcPr>
            <w:tcW w:type="dxa" w:w="244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70–90s｜AI + Future</w:t>
            </w:r>
          </w:p>
        </w:tc>
        <w:tc>
          <w:tcPr>
            <w:tcW w:type="dxa" w:w="69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AI 的核心作用、数据限制、30 天影子盘与赛后 L3 阶段门</w:t>
            </w:r>
          </w:p>
        </w:tc>
      </w:tr>
    </w:tbl>
    <w:p>
      <w:pPr>
        <w:spacing w:after="0"/>
      </w:pPr>
    </w:p>
    <w:p>
      <w:pPr/>
      <w:r>
        <w:rPr>
          <w:rFonts w:ascii="Arial" w:hAnsi="Arial" w:eastAsia="Hiragino Sans GB"/>
          <w:i w:val="0"/>
        </w:rPr>
        <w:t>Demo 网站至少提供英文版本；中文为团队开发与本地沟通。现场较长 Pitch 可扩展到 2–3 分钟，但核心用户流程和链上证据与 90 秒视频保持一致。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12.3 最终提交包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项目名称、英文/中文一句话 Pitch、问题与第一用户。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可运行在线 Demo；90 秒视频；如现场展示则准备离线录屏备份。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公开 GitHub：README、架构图、启动命令、测试命令、许可证、已知限制。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Agent Card URL、A2A endpoint、鉴权说明、3 个任务示例与预期输出。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Injective 测试网：Agent tokenId、合约地址、x402 证据、Receipt tx hash、Explorer 链接。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团队成员与分工；赛事期间实质新增功能说明。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数据卡：时间窗、venue、资产、缺口、成本假设、不可证明事项。</w:t>
      </w:r>
    </w:p>
    <w:p>
      <w:bookmarkStart w:id="140" w:name="sec13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13. 功能需求清单</w:t>
      </w:r>
      <w:bookmarkEnd w:id="14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936"/>
        <w:gridCol w:w="1944"/>
        <w:gridCol w:w="5443"/>
      </w:tblGrid>
      <w:tr>
        <w:trPr>
          <w:cantSplit/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ID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54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需求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FR-001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Venue Adapter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读取 Binance/Bybit/Hyperliquid/Injective Funding、价格、市场元数据与状态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FR-002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Normalizer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统一资产、market、周期、rate、价格、精度、结算与时间语义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FR-003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S1 Engine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生成合格同平台 spot-perp 候选或拒绝码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FR-004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S2 Engine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生成跨平台 perp-perp 候选；支持 Injective 腿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FR-005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Cost Engine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完整成本、总资本 ROI、容量与敏感度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FR-006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Risk Engine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数据/映射/流动性/保证金/Delta/规则硬门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FR-007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Backtest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12–24 个月事件回放、分层指标、压力与防未来函数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FR-008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Paper Engine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双腿状态机、故障注入、补偿、统一账本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FR-009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A2A Server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Agent Card、公网任务、鉴权、健康检查、超时与结构化响应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FR-010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LLM Layer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DeepSeek V4 pro 编排/解释；数值不可覆盖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FR-011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ERC-8004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Injective 测试网注册、metadata、查询与 UI 证据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FR-012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x402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完整报告按次付费测试端点；核心评审任务免费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FR-013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Receipt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完整本地记录 + Injective 摘要锚定与一致性校验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FR-014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Web Demo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Scan/Candidate/Replay/Evidence 四屏、双语、Explorer 链接</w:t>
            </w:r>
          </w:p>
        </w:tc>
      </w:tr>
      <w:tr>
        <w:tc>
          <w:tcPr>
            <w:tcW w:type="dxa" w:w="1037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FR-015</w:t>
            </w:r>
          </w:p>
        </w:tc>
        <w:tc>
          <w:tcPr>
            <w:tcW w:type="dxa" w:w="9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Audit</w:t>
            </w:r>
          </w:p>
        </w:tc>
        <w:tc>
          <w:tcPr>
            <w:tcW w:type="dxa" w:w="5443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task/run/config/data/receipt/tx 全链路追溯</w:t>
            </w:r>
          </w:p>
        </w:tc>
      </w:tr>
      <w:tr>
        <w:tc>
          <w:tcPr>
            <w:tcW w:type="dxa" w:w="1037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5"/>
              </w:rPr>
              <w:t>FR-016</w:t>
            </w:r>
          </w:p>
        </w:tc>
        <w:tc>
          <w:tcPr>
            <w:tcW w:type="dxa" w:w="9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P1</w:t>
            </w:r>
          </w:p>
        </w:tc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Exchange Precompile</w:t>
            </w:r>
          </w:p>
        </w:tc>
        <w:tc>
          <w:tcPr>
            <w:tcW w:type="dxa" w:w="5443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5"/>
              </w:rPr>
              <w:t>测试网小额订单/撤单/仓位或授权证据</w:t>
            </w:r>
          </w:p>
        </w:tc>
      </w:tr>
    </w:tbl>
    <w:p>
      <w:pPr>
        <w:spacing w:after="0"/>
      </w:pPr>
    </w:p>
    <w:p>
      <w:bookmarkStart w:id="150" w:name="sec14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14. 非功能与可观测性</w:t>
      </w:r>
      <w:bookmarkEnd w:id="15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NFR-01 可用性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评审时段 A2A / health 可用；单点数据源失败时明确降级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NFR-02 性能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P95 任务 &lt; 90 秒；实时扫描刷新 ≤ 60 秒；UI 首屏 ≤ 3 秒（缓存可用时）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NFR-03 数据新鲜度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字段级 max_age；过期即拒绝，不静默使用缓存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NFR-04 可复现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同 run 输入 + 版本可重放；确定性字段无随机漂移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NFR-05 安全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secret 扫描、依赖锁定、测试网强校验、最小权限、审计日志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NFR-06 可观测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task/run/venue/receipt/tx correlation id；结构化错误与延迟指标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NFR-07 可恢复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429/5xx 指数退避；WebSocket 重连后快照恢复与对账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NFR-08 可访问性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键盘可操作、状态不只靠颜色、表格/图表有文本等价物</w:t>
            </w:r>
          </w:p>
        </w:tc>
      </w:tr>
      <w:tr>
        <w:tc>
          <w:tcPr>
            <w:tcW w:type="dxa" w:w="208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NFR-09 国际化</w:t>
            </w:r>
          </w:p>
        </w:tc>
        <w:tc>
          <w:tcPr>
            <w:tcW w:type="dxa" w:w="72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zh-CN / en；数字、UTC 时间、APR/ROI 口径一致</w:t>
            </w:r>
          </w:p>
        </w:tc>
      </w:tr>
      <w:tr>
        <w:tc>
          <w:tcPr>
            <w:tcW w:type="dxa" w:w="208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NFR-10 隐私</w:t>
            </w:r>
          </w:p>
        </w:tc>
        <w:tc>
          <w:tcPr>
            <w:tcW w:type="dxa" w:w="72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不收集非必要个人信息；日志脱敏；评审凭证可撤销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14.1 监控与告警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3312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Data</w:t>
            </w:r>
          </w:p>
        </w:tc>
        <w:tc>
          <w:tcPr>
            <w:tcW w:type="dxa" w:w="45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snapshot_age、gap_rate、schema_error、venue divergence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超过硬阈值立即熔断候选</w:t>
            </w:r>
          </w:p>
        </w:tc>
      </w:tr>
      <w:tr>
        <w:tc>
          <w:tcPr>
            <w:tcW w:type="dxa" w:w="15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Agent</w:t>
            </w:r>
          </w:p>
        </w:tc>
        <w:tc>
          <w:tcPr>
            <w:tcW w:type="dxa" w:w="45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task_latency、success、parse_error、tool_error、timeout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P95 或错误率越界告警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Paper</w:t>
            </w:r>
          </w:p>
        </w:tc>
        <w:tc>
          <w:tcPr>
            <w:tcW w:type="dxa" w:w="45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max_unhedged、delta_error、recovery_count、ledger_mismatch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任一账本不一致即停止</w:t>
            </w:r>
          </w:p>
        </w:tc>
      </w:tr>
      <w:tr>
        <w:tc>
          <w:tcPr>
            <w:tcW w:type="dxa" w:w="15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</w:t>
            </w:r>
          </w:p>
        </w:tc>
        <w:tc>
          <w:tcPr>
            <w:tcW w:type="dxa" w:w="453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RPC latency、tx failure、index delay、x402 verify</w:t>
            </w:r>
          </w:p>
        </w:tc>
        <w:tc>
          <w:tcPr>
            <w:tcW w:type="dxa" w:w="331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失败不影响免费核心任务；保留重试证据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Security</w:t>
            </w:r>
          </w:p>
        </w:tc>
        <w:tc>
          <w:tcPr>
            <w:tcW w:type="dxa" w:w="453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secret scan、unexpected network、write attempts</w:t>
            </w:r>
          </w:p>
        </w:tc>
        <w:tc>
          <w:tcPr>
            <w:tcW w:type="dxa" w:w="331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阻断启动/写入并告警</w:t>
            </w:r>
          </w:p>
        </w:tc>
      </w:tr>
    </w:tbl>
    <w:p>
      <w:pPr>
        <w:spacing w:after="0"/>
      </w:pPr>
    </w:p>
    <w:p>
      <w:bookmarkStart w:id="160" w:name="sec15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15. 验收标准</w:t>
      </w:r>
      <w:bookmarkEnd w:id="16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Given / When / Then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AC-01 Cost rejection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毛 APR &gt; 0 但全回合成本更高；When Agent 评估；Then 返回 REJECTED_COST，不生成执行计划，并展示成本归因。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AC-02 No look-ahead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最终 Funding 尚未结算；When 历史回放运行至结算前；Then 策略不可读取该最终值。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AC-03 Missing data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关键 Funding/L2 缺口；When 回测或扫描；Then 不补 0，结果标记 PARTIAL 或 REJECTED_MISSING_EVIDENCE。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AC-04 Wrapper risk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Hyperliquid 包装现货未通过上市期/流动性白名单；When S1 扫描；Then REJECTED_MAPPING。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AC-05 Single-leg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Leg A 成交 40%、Leg B 被拒；When 未对冲时间超限；Then 进入 RECOVERY，按已成交量补偿并完整记账。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AC-06 Funding flip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paper 持仓中 Funding 反转；When 重新计算继续持有价值；Then 按确定性规则继续或 EXIT_PENDING，解释归因。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AC-07 A2A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评审平台读取公网 Agent Card；When 发送任一示例任务；Then 返回可解析、可解释结果且 &lt; 20 分钟。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AC-08 Determinism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相同 run/config/data；When 重放两次；Then 数值、拒绝码与状态转移一致。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AC-09 Injective data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Injective 有活跃永续市场；When 扫描 S2；Then 标准化 Funding/metadata 进入比较或返回明确不合格原因。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AC-10 ERC-8004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测试网注册完成；When UI/CLI 查询 tokenId；Then metadata 中服务端点与当前 Agent Card 一致。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AC-11 x402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未付款请求完整报告；When 调用受保护端点；Then 返回 402 报价；凭有效 receipt 重试后返回数据。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AC-12 Receipt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paper trade CLOSED；When 锚定 Receipt；Then Explorer 可查 tx，本地 hash 与链上摘要一致。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AC-13 Compliance</w:t>
            </w:r>
          </w:p>
        </w:tc>
        <w:tc>
          <w:tcPr>
            <w:tcW w:type="dxa" w:w="75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任意外部报告；When 输出完成；Then 包含固定风险提示，且不出现收益承诺或个性化下单措辞。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AC-14 Network safety</w:t>
            </w:r>
          </w:p>
        </w:tc>
        <w:tc>
          <w:tcPr>
            <w:tcW w:type="dxa" w:w="75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Given 环境为 mainnet 且比赛写开关未授权；When 进程启动；Then 拒绝所有签名/写操作。</w:t>
            </w:r>
          </w:p>
        </w:tc>
      </w:tr>
    </w:tbl>
    <w:p>
      <w:pPr>
        <w:spacing w:after="0"/>
      </w:pPr>
    </w:p>
    <w:p>
      <w:bookmarkStart w:id="170" w:name="sec16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16. 指标与分析</w:t>
      </w:r>
      <w:bookmarkEnd w:id="17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16.1 产品与 Agent 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80"/>
        <w:gridCol w:w="2520"/>
      </w:tblGrid>
      <w:tr>
        <w:trPr>
          <w:cantSplit/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比赛目标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Task completion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三类任务可解析成功率</w:t>
            </w:r>
          </w:p>
        </w:tc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比赛门：15/15</w:t>
            </w:r>
          </w:p>
        </w:tc>
      </w:tr>
      <w:tr>
        <w:tc>
          <w:tcPr>
            <w:tcW w:type="dxa" w:w="21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Faithfulness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Agent 数值与 deterministic result 一致率</w:t>
            </w:r>
          </w:p>
        </w:tc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100%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Reject quality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应拒绝样本被正确拒绝</w:t>
            </w:r>
          </w:p>
        </w:tc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100% 核心故障集</w:t>
            </w:r>
          </w:p>
        </w:tc>
      </w:tr>
      <w:tr>
        <w:tc>
          <w:tcPr>
            <w:tcW w:type="dxa" w:w="21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Latency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端到端 P50/P95/max</w:t>
            </w:r>
          </w:p>
        </w:tc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P95 &lt; 90s；max &lt; 20m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Traceability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包含 source/time/version/config 的输出比例</w:t>
            </w:r>
          </w:p>
        </w:tc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100%</w:t>
            </w:r>
          </w:p>
        </w:tc>
      </w:tr>
      <w:tr>
        <w:tc>
          <w:tcPr>
            <w:tcW w:type="dxa" w:w="21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 evidence</w:t>
            </w:r>
          </w:p>
        </w:tc>
        <w:tc>
          <w:tcPr>
            <w:tcW w:type="dxa" w:w="468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身份/x402/receipt/market leg 可核验证据</w:t>
            </w:r>
          </w:p>
        </w:tc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各 ≥ 1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Demo comprehension</w:t>
            </w:r>
          </w:p>
        </w:tc>
        <w:tc>
          <w:tcPr>
            <w:tcW w:type="dxa" w:w="468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5 名陌生测试者能复述问题和价值</w:t>
            </w:r>
          </w:p>
        </w:tc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≥ 4/5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16.2 策略研究指标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机会数、通过率、拒绝码分布；按资产/venue/策略/市场状态分层。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Funding、基差、费用、滑点、恢复成本及不确定性准备金的 PnL 瀑布。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总权益 ROI、最大回撤、盈亏平衡时间、Funding 翻转率与持有期。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容量、目标/实际 Delta、最大未对冲时间、保证金压力与恢复次数。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Gross vs modeled net 的差距，作为“毛 APR 幻觉”教育指标。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tcBorders>
              <w:top w:val="single" w:sz="8" w:color="B42318"/>
              <w:left w:val="single" w:sz="1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B42318"/>
                <w:sz w:val="21"/>
              </w:rPr>
              <w:t>Pitch 纪律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在净回测和成本模型完成前，只展示“数据覆盖、机会分布与成本侵蚀示例”，不得将 9.25% 中位数毛 APR 或 P95 32.68% 写成策略收益。</w:t>
            </w:r>
          </w:p>
        </w:tc>
      </w:tr>
    </w:tbl>
    <w:p>
      <w:pPr>
        <w:spacing w:after="0"/>
      </w:pPr>
    </w:p>
    <w:p>
      <w:bookmarkStart w:id="180" w:name="sec17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17. 阶段门与开发顺序</w:t>
      </w:r>
      <w:bookmarkEnd w:id="18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76"/>
        <w:gridCol w:w="3384"/>
        <w:gridCol w:w="1872"/>
      </w:tblGrid>
      <w:tr>
        <w:trPr>
          <w:cantSplit/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进入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退出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G0 PRD Freeze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方案 A 已批准；v2 最终审阅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P0/非目标/接口/验收冻结</w:t>
            </w:r>
          </w:p>
        </w:tc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不扩大范围</w:t>
            </w:r>
          </w:p>
        </w:tc>
      </w:tr>
      <w:tr>
        <w:tc>
          <w:tcPr>
            <w:tcW w:type="dxa" w:w="17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G1 Research Engine</w:t>
            </w:r>
          </w:p>
        </w:tc>
        <w:tc>
          <w:tcPr>
            <w:tcW w:type="dxa" w:w="23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数据 schema 冻结</w:t>
            </w:r>
          </w:p>
        </w:tc>
        <w:tc>
          <w:tcPr>
            <w:tcW w:type="dxa" w:w="33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S1/S2 可复现、无未来函数、成本可追溯</w:t>
            </w:r>
          </w:p>
        </w:tc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不称净收益已验证</w:t>
            </w:r>
          </w:p>
        </w:tc>
      </w:tr>
      <w:tr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G2 A2A + Paper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引擎通过测试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3 任务稳定、状态机通过故障注入</w:t>
            </w:r>
          </w:p>
        </w:tc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不接真实资金</w:t>
            </w:r>
          </w:p>
        </w:tc>
      </w:tr>
      <w:tr>
        <w:tc>
          <w:tcPr>
            <w:tcW w:type="dxa" w:w="17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G3 Injective Evidence</w:t>
            </w:r>
          </w:p>
        </w:tc>
        <w:tc>
          <w:tcPr>
            <w:tcW w:type="dxa" w:w="23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测试网 key/钱包隔离</w:t>
            </w:r>
          </w:p>
        </w:tc>
        <w:tc>
          <w:tcPr>
            <w:tcW w:type="dxa" w:w="33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数据腿、身份、x402、Receipt 有证据</w:t>
            </w:r>
          </w:p>
        </w:tc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不把哈希当外部成交证明</w:t>
            </w:r>
          </w:p>
        </w:tc>
      </w:tr>
      <w:tr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G4 Shadow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主网只读采集上线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连续 ≥30 天、延迟/滑点/故障模型校准</w:t>
            </w:r>
          </w:p>
        </w:tc>
        <w:tc>
          <w:tcPr>
            <w:tcW w:type="dxa" w:w="187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不开放 L3</w:t>
            </w:r>
          </w:p>
        </w:tc>
      </w:tr>
      <w:tr>
        <w:tc>
          <w:tcPr>
            <w:tcW w:type="dxa" w:w="17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G5 Small Live</w:t>
            </w:r>
          </w:p>
        </w:tc>
        <w:tc>
          <w:tcPr>
            <w:tcW w:type="dxa" w:w="237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安全、合规、运维批准</w:t>
            </w:r>
          </w:p>
        </w:tc>
        <w:tc>
          <w:tcPr>
            <w:tcW w:type="dxa" w:w="338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小额、白名单、可撤销、Kill Switch</w:t>
            </w:r>
          </w:p>
        </w:tc>
        <w:tc>
          <w:tcPr>
            <w:tcW w:type="dxa" w:w="187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不面向公众/大额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17.1 开发顺序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冻结 normalized quote、cost、risk、A2A、receipt schema 与拒绝码。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将现有历史面板接入确定性 Opportunity/Backtest Engine；完成未来函数测试。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实现 Binance/Bybit/Hyperliquid/Injective 实时适配器与 24/7 采集器。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实现 A2A Server、Agent Card、三类任务与 DeepSeek V4 pro 模型适配。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实现 Paper Executor、统一账本、Funding 翻转与单腿失败注入。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实现 Injective ERC-8004、x402、ReceiptAnchor 与 Evidence 面板。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完成最小四屏 Web、双语、90 秒视频和公开 README/架构。</w:t>
      </w:r>
    </w:p>
    <w:p>
      <w:pPr>
        <w:pStyle w:val="ListNumber"/>
        <w:spacing w:after="80"/>
      </w:pPr>
      <w:r>
        <w:rPr>
          <w:rFonts w:ascii="Arial" w:hAnsi="Arial" w:eastAsia="Hiragino Sans GB"/>
        </w:rPr>
        <w:t>运行功能、数据、安全、故障、赛道提交清单；若有余量再做 Exchange Precompile P1。</w:t>
      </w: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17.2 开发前不可变决策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rPr>
          <w:cantSplit/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决策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D-01</w:t>
            </w:r>
          </w:p>
        </w:tc>
        <w:tc>
          <w:tcPr>
            <w:tcW w:type="dxa" w:w="79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比赛版 paper only；L3 不进入 P0</w:t>
            </w:r>
          </w:p>
        </w:tc>
      </w:tr>
      <w:tr>
        <w:tc>
          <w:tcPr>
            <w:tcW w:type="dxa" w:w="14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D-02</w:t>
            </w:r>
          </w:p>
        </w:tc>
        <w:tc>
          <w:tcPr>
            <w:tcW w:type="dxa" w:w="79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资产限定 BTC/ETH/SOL；策略限定 S1/S2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D-03</w:t>
            </w:r>
          </w:p>
        </w:tc>
        <w:tc>
          <w:tcPr>
            <w:tcW w:type="dxa" w:w="79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AI 不计算最终数值，不签名，不覆盖风控</w:t>
            </w:r>
          </w:p>
        </w:tc>
      </w:tr>
      <w:tr>
        <w:tc>
          <w:tcPr>
            <w:tcW w:type="dxa" w:w="14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D-04</w:t>
            </w:r>
          </w:p>
        </w:tc>
        <w:tc>
          <w:tcPr>
            <w:tcW w:type="dxa" w:w="79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Injective EVM-first；市场数据由 Native/MCP/Indexer 进入引擎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D-05</w:t>
            </w:r>
          </w:p>
        </w:tc>
        <w:tc>
          <w:tcPr>
            <w:tcW w:type="dxa" w:w="79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x402 只保护可选付费报告；评审核心路径免费</w:t>
            </w:r>
          </w:p>
        </w:tc>
      </w:tr>
      <w:tr>
        <w:tc>
          <w:tcPr>
            <w:tcW w:type="dxa" w:w="14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D-06</w:t>
            </w:r>
          </w:p>
        </w:tc>
        <w:tc>
          <w:tcPr>
            <w:tcW w:type="dxa" w:w="79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Receipt 只证明本地记录防篡改，不证明外部成交真实性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D-07</w:t>
            </w:r>
          </w:p>
        </w:tc>
        <w:tc>
          <w:tcPr>
            <w:tcW w:type="dxa" w:w="79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主网影子盘至少 30 天后才讨论小额实盘</w:t>
            </w:r>
          </w:p>
        </w:tc>
      </w:tr>
    </w:tbl>
    <w:p>
      <w:pPr>
        <w:spacing w:after="0"/>
      </w:pPr>
    </w:p>
    <w:p>
      <w:bookmarkStart w:id="200" w:name="appa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附录 A｜核心 Schema</w:t>
      </w:r>
      <w:bookmarkEnd w:id="200"/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A.1 NormalizedFundingQuote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identity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venue、market_id、canonical_asset、instrument_type、quote/settle_asset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time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observed_at、effective_at、settlement_at、ingested_at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funding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raw_rate、interval_seconds、hourly_rate、predicted_or_realized、next_settlement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price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mark、index/oracle、bid、ask、mid、basis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liquidity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depth bands、volume、open_interest、capacity_notional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rules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tick_size、lot_size、min_notional、max_leverage、fee_tier、market_status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quality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source、freshness_ms、missing_fields、quality_flags、raw_payload_hash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A.2 OpportunityCandidate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identity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candidate_id、strategy、asset、decision_time、horizon_hours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legs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venue、market、side、instrument、price、notional、margin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economics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gross_funding、basis、fees、slippage、recovery、reserve、net_pnl、roi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risk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delta_error、capacity、margin_buffer、funding_flip、quality_flags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decision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ACCEPTED/REJECTED、rejection_codes、expires_at、config_hash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A.3 BacktestRun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cantSplit/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provenance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run_id、dataset_version、engine_version、config_hash、git_commit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window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start/end、decision cadence、universe、venues、strategy、horizon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cost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fee schedule、slippage model、borrow/transfer/recovery assumptions</w:t>
            </w:r>
          </w:p>
        </w:tc>
      </w:tr>
      <w:tr>
        <w:tc>
          <w:tcPr>
            <w:tcW w:type="dxa" w:w="1944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results</w:t>
            </w:r>
          </w:p>
        </w:tc>
        <w:tc>
          <w:tcPr>
            <w:tcW w:type="dxa" w:w="7416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PnL components、ROI、drawdown、turnover、flip rate、capacity、stress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quality</w:t>
            </w:r>
          </w:p>
        </w:tc>
        <w:tc>
          <w:tcPr>
            <w:tcW w:type="dxa" w:w="7416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coverage、gaps、estimated fields、warnings、status COMPLETE/PARTIAL</w:t>
            </w:r>
          </w:p>
        </w:tc>
      </w:tr>
    </w:tbl>
    <w:p>
      <w:pPr>
        <w:spacing w:after="0"/>
      </w:pPr>
    </w:p>
    <w:p>
      <w:bookmarkStart w:id="210" w:name="appb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附录 B｜错误与任务状态</w:t>
      </w:r>
      <w:bookmarkEnd w:id="21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任务状态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语义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QUEUED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任务已接受，尚未执行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RUNNING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正在调用工具/引擎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COMPLETED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任务完整结束，可能包含 REJECTED 候选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PARTIAL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结果可读但数据/工具/时间不足；必须列限制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FAILED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不可恢复错误；返回 machine-readable error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TIMEOUT_PARTIAL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达到任务时间预算，返回已完成步骤，不伪造后续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cantSplit/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语义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ERR_AUTH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鉴权失败或权限不足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ERR_DATA_SOURCE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数据源不可用/限流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ERR_DATA_QUALITY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必要字段缺失或 stale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ERR_CONFIG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运行配置/网络/市场不一致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ERR_ENGINE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确定性引擎失败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ERR_CHAIN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Injective RPC/tx/index 失败</w:t>
            </w:r>
          </w:p>
        </w:tc>
      </w:tr>
      <w:tr>
        <w:tc>
          <w:tcPr>
            <w:tcW w:type="dxa" w:w="25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ERR_PAYMENT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x402 quote/receipt/verify 失败</w:t>
            </w:r>
          </w:p>
        </w:tc>
      </w:tr>
      <w:tr>
        <w:tc>
          <w:tcPr>
            <w:tcW w:type="dxa" w:w="25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ERR_TIMEOUT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任务超过预算</w:t>
            </w:r>
          </w:p>
        </w:tc>
      </w:tr>
    </w:tbl>
    <w:p>
      <w:pPr>
        <w:spacing w:after="0"/>
      </w:pPr>
    </w:p>
    <w:p>
      <w:bookmarkStart w:id="220" w:name="appc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附录 C｜赛前提交核对</w:t>
      </w:r>
      <w:bookmarkEnd w:id="22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840"/>
        <w:gridCol w:w="7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域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提交前必须成立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Product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Pitch、第一用户、Reverse 叙事、P0/非目标一致</w:t>
            </w:r>
          </w:p>
        </w:tc>
        <w:tc>
          <w:tcPr>
            <w:tcW w:type="dxa" w:w="7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A2A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Agent Card 公网可访问；3 任务 ×5；&lt;20 分钟；鉴权说明</w:t>
            </w:r>
          </w:p>
        </w:tc>
        <w:tc>
          <w:tcPr>
            <w:tcW w:type="dxa" w:w="7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AI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DeepSeek V4 pro model_id；工具调用与确定性边界可演示</w:t>
            </w:r>
          </w:p>
        </w:tc>
        <w:tc>
          <w:tcPr>
            <w:tcW w:type="dxa" w:w="7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Data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24 个月窗口、缺口、包装资产、成本/估算说明</w:t>
            </w:r>
          </w:p>
        </w:tc>
        <w:tc>
          <w:tcPr>
            <w:tcW w:type="dxa" w:w="7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Injective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market leg、ERC-8004、x402、Receipt/tx hash 可查</w:t>
            </w:r>
          </w:p>
        </w:tc>
        <w:tc>
          <w:tcPr>
            <w:tcW w:type="dxa" w:w="7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Demo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在线链接、英文版本、90 秒视频、离线备份</w:t>
            </w:r>
          </w:p>
        </w:tc>
        <w:tc>
          <w:tcPr>
            <w:tcW w:type="dxa" w:w="7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Code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公开 GitHub、README、架构、启动/测试、license、known limitations</w:t>
            </w:r>
          </w:p>
        </w:tc>
        <w:tc>
          <w:tcPr>
            <w:tcW w:type="dxa" w:w="7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Security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secret scan、测试网强校验、依赖锁、日志脱敏</w:t>
            </w:r>
          </w:p>
        </w:tc>
        <w:tc>
          <w:tcPr>
            <w:tcW w:type="dxa" w:w="7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Compliance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风险提示；无收益承诺/投资建议；第三方授权记录</w:t>
            </w:r>
          </w:p>
        </w:tc>
        <w:tc>
          <w:tcPr>
            <w:tcW w:type="dxa" w:w="72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  <w:tr>
        <w:tc>
          <w:tcPr>
            <w:tcW w:type="dxa" w:w="180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Team</w:t>
            </w:r>
          </w:p>
        </w:tc>
        <w:tc>
          <w:tcPr>
            <w:tcW w:type="dxa" w:w="684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成员分工、赛事期间新增功能说明</w:t>
            </w:r>
          </w:p>
        </w:tc>
        <w:tc>
          <w:tcPr>
            <w:tcW w:type="dxa" w:w="72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□</w:t>
            </w:r>
          </w:p>
        </w:tc>
      </w:tr>
    </w:tbl>
    <w:p>
      <w:pPr>
        <w:spacing w:after="0"/>
      </w:pPr>
    </w:p>
    <w:p>
      <w:bookmarkStart w:id="230" w:name="appd"/>
      <w:pPr>
        <w:pStyle w:val="Heading1"/>
        <w:pageBreakBefore/>
      </w:pPr>
      <w:r>
        <w:rPr>
          <w:rFonts w:ascii="Arial" w:hAnsi="Arial" w:eastAsia="Hiragino Sans GB"/>
          <w:b/>
          <w:color w:val="2E74B5"/>
          <w:sz w:val="32"/>
        </w:rPr>
        <w:t>附录 D｜来源与证据边界</w:t>
      </w:r>
      <w:bookmarkEnd w:id="230"/>
    </w:p>
    <w:p>
      <w:pPr/>
      <w:r>
        <w:rPr>
          <w:rFonts w:ascii="Arial" w:hAnsi="Arial" w:eastAsia="Hiragino Sans GB"/>
          <w:i w:val="0"/>
        </w:rPr>
        <w:t>以下来源为 v2 的主要证据。外部技术文档以 2026-07-25 访问版本为准；赛道规则以用户提供的 Info Session PPT/参赛信息及主办方最终解释为准。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960"/>
        <w:gridCol w:w="4608"/>
      </w:tblGrid>
      <w:tr>
        <w:trPr>
          <w:cantSplit/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S1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PandaAI 7_22ADVX赛道.docx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A2A、模型、20 分钟、3 任务、合规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S2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Info Session.pdf（23 页现场 PPT）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赛道、工具、Demo 与 x402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S3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Info Session 录音稿（57 分钟）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讲师补充建议与 Q&amp;A；转写需交叉核验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S4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Info.docx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参赛信息、提交物和评分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S5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本项目数据 README / 独立验证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65,697 事件、质量、缺口与毛 APR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S6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AI资金费率套利产品研究与方案.md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产品/策略/风险研究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S7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历史数据与模拟环境可行性核验.md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回测与模拟可行性、限制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S8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AI SDK / MCP / Trading Skills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AInj、MCP 与市场数据能力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S9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Agents / ERC-8004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Agent CLI、身份与测试网流程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S10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x402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402 支付流程、USDC 与约 650ms 单区块结算</w:t>
            </w:r>
          </w:p>
        </w:tc>
      </w:tr>
      <w:tr>
        <w:tc>
          <w:tcPr>
            <w:tcW w:type="dxa" w:w="79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S11</w:t>
            </w:r>
          </w:p>
        </w:tc>
        <w:tc>
          <w:tcPr>
            <w:tcW w:type="dxa" w:w="3960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Injective Exchange Precompile</w:t>
            </w:r>
          </w:p>
        </w:tc>
        <w:tc>
          <w:tcPr>
            <w:tcW w:type="dxa" w:w="460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下单、撤单、仓位与授权能力</w:t>
            </w:r>
          </w:p>
        </w:tc>
      </w:tr>
      <w:tr>
        <w:tc>
          <w:tcPr>
            <w:tcW w:type="dxa" w:w="79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6"/>
              </w:rPr>
              <w:t>S12</w:t>
            </w:r>
          </w:p>
        </w:tc>
        <w:tc>
          <w:tcPr>
            <w:tcW w:type="dxa" w:w="3960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Hyperliquid Funding / Info API / SDK / HIP-3</w:t>
            </w:r>
          </w:p>
        </w:tc>
        <w:tc>
          <w:tcPr>
            <w:tcW w:type="dxa" w:w="460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6"/>
              </w:rPr>
              <w:t>Funding、市场数据、API Wallet 与 HIP-3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D.1 官方链接</w:t>
      </w:r>
    </w:p>
    <w:p>
      <w:pPr>
        <w:pStyle w:val="ListBullet"/>
        <w:spacing w:after="60"/>
      </w:pPr>
      <w:hyperlink r:id="rId11">
        <w:r>
          <w:rPr>
            <w:color w:val="0563C1"/>
            <w:rFonts w:ascii="Arial" w:hAnsi="Arial" w:eastAsia="Hiragino Sans GB"/>
            <w:u w:val="single"/>
          </w:rPr>
          <w:t>Injective AI SDK</w:t>
        </w:r>
      </w:hyperlink>
    </w:p>
    <w:p>
      <w:pPr>
        <w:pStyle w:val="ListBullet"/>
        <w:spacing w:after="60"/>
      </w:pPr>
      <w:hyperlink r:id="rId12">
        <w:r>
          <w:rPr>
            <w:color w:val="0563C1"/>
            <w:rFonts w:ascii="Arial" w:hAnsi="Arial" w:eastAsia="Hiragino Sans GB"/>
            <w:u w:val="single"/>
          </w:rPr>
          <w:t>Injective MCP Server</w:t>
        </w:r>
      </w:hyperlink>
    </w:p>
    <w:p>
      <w:pPr>
        <w:pStyle w:val="ListBullet"/>
        <w:spacing w:after="60"/>
      </w:pPr>
      <w:hyperlink r:id="rId13">
        <w:r>
          <w:rPr>
            <w:color w:val="0563C1"/>
            <w:rFonts w:ascii="Arial" w:hAnsi="Arial" w:eastAsia="Hiragino Sans GB"/>
            <w:u w:val="single"/>
          </w:rPr>
          <w:t>Injective Trading Skills</w:t>
        </w:r>
      </w:hyperlink>
    </w:p>
    <w:p>
      <w:pPr>
        <w:pStyle w:val="ListBullet"/>
        <w:spacing w:after="60"/>
      </w:pPr>
      <w:hyperlink r:id="rId14">
        <w:r>
          <w:rPr>
            <w:color w:val="0563C1"/>
            <w:rFonts w:ascii="Arial" w:hAnsi="Arial" w:eastAsia="Hiragino Sans GB"/>
            <w:u w:val="single"/>
          </w:rPr>
          <w:t>Injective Agents / ERC-8004</w:t>
        </w:r>
      </w:hyperlink>
    </w:p>
    <w:p>
      <w:pPr>
        <w:pStyle w:val="ListBullet"/>
        <w:spacing w:after="60"/>
      </w:pPr>
      <w:hyperlink r:id="rId15">
        <w:r>
          <w:rPr>
            <w:color w:val="0563C1"/>
            <w:rFonts w:ascii="Arial" w:hAnsi="Arial" w:eastAsia="Hiragino Sans GB"/>
            <w:u w:val="single"/>
          </w:rPr>
          <w:t>Injective x402</w:t>
        </w:r>
      </w:hyperlink>
    </w:p>
    <w:p>
      <w:pPr>
        <w:pStyle w:val="ListBullet"/>
        <w:spacing w:after="60"/>
      </w:pPr>
      <w:hyperlink r:id="rId16">
        <w:r>
          <w:rPr>
            <w:color w:val="0563C1"/>
            <w:rFonts w:ascii="Arial" w:hAnsi="Arial" w:eastAsia="Hiragino Sans GB"/>
            <w:u w:val="single"/>
          </w:rPr>
          <w:t>Injective Exchange Precompile</w:t>
        </w:r>
      </w:hyperlink>
    </w:p>
    <w:p>
      <w:pPr>
        <w:pStyle w:val="ListBullet"/>
        <w:spacing w:after="60"/>
      </w:pPr>
      <w:hyperlink r:id="rId17">
        <w:r>
          <w:rPr>
            <w:color w:val="0563C1"/>
            <w:rFonts w:ascii="Arial" w:hAnsi="Arial" w:eastAsia="Hiragino Sans GB"/>
            <w:u w:val="single"/>
          </w:rPr>
          <w:t>Hyperliquid Funding</w:t>
        </w:r>
      </w:hyperlink>
    </w:p>
    <w:p>
      <w:pPr>
        <w:pStyle w:val="ListBullet"/>
        <w:spacing w:after="60"/>
      </w:pPr>
      <w:hyperlink r:id="rId18">
        <w:r>
          <w:rPr>
            <w:color w:val="0563C1"/>
            <w:rFonts w:ascii="Arial" w:hAnsi="Arial" w:eastAsia="Hiragino Sans GB"/>
            <w:u w:val="single"/>
          </w:rPr>
          <w:t>Hyperliquid Info API</w:t>
        </w:r>
      </w:hyperlink>
    </w:p>
    <w:p>
      <w:pPr>
        <w:pStyle w:val="ListBullet"/>
        <w:spacing w:after="60"/>
      </w:pPr>
      <w:hyperlink r:id="rId19">
        <w:r>
          <w:rPr>
            <w:color w:val="0563C1"/>
            <w:rFonts w:ascii="Arial" w:hAnsi="Arial" w:eastAsia="Hiragino Sans GB"/>
            <w:u w:val="single"/>
          </w:rPr>
          <w:t>Hyperliquid Python SDK</w:t>
        </w:r>
      </w:hyperlink>
    </w:p>
    <w:p>
      <w:pPr>
        <w:pStyle w:val="Heading2"/>
      </w:pPr>
      <w:r>
        <w:rPr>
          <w:rFonts w:ascii="Arial" w:hAnsi="Arial" w:eastAsia="Hiragino Sans GB"/>
          <w:b/>
          <w:color w:val="2E74B5"/>
          <w:sz w:val="26"/>
        </w:rPr>
        <w:t>D.2 不可由当前证据声称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净收益、未来收益、策略容量或真实最大回撤已经得到验证。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历史 predicted funding、完整 L2 排队位置、跨 venue 网络故障已经被完整重现。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测试网下单成功代表主网可成交、低滑点或可盈利。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链上 Receipt 验证了 Binance、Bybit、Hyperliquid 的真实成交。</w:t>
      </w:r>
    </w:p>
    <w:p>
      <w:pPr>
        <w:pStyle w:val="ListBullet"/>
        <w:spacing w:after="80"/>
      </w:pPr>
      <w:r>
        <w:rPr>
          <w:rFonts w:ascii="Arial" w:hAnsi="Arial" w:eastAsia="Hiragino Sans GB"/>
        </w:rPr>
        <w:t>30 天主网影子盘已运行，或 L3 自动交易已达到开放条件。</w:t>
      </w:r>
    </w:p>
    <w:p>
      <w:bookmarkStart w:id="240" w:name="appe"/>
      <w:pPr>
        <w:pStyle w:val="Heading1"/>
      </w:pPr>
      <w:r>
        <w:rPr>
          <w:rFonts w:ascii="Arial" w:hAnsi="Arial" w:eastAsia="Hiragino Sans GB"/>
          <w:b/>
          <w:color w:val="2E74B5"/>
          <w:sz w:val="32"/>
        </w:rPr>
        <w:t>附录 E｜版本与审批</w:t>
      </w:r>
      <w:bookmarkEnd w:id="240"/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5328"/>
        <w:gridCol w:w="1152"/>
      </w:tblGrid>
      <w:tr>
        <w:trPr>
          <w:cantSplit/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8278B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v1.0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2026-07-25</w:t>
            </w:r>
          </w:p>
        </w:tc>
        <w:tc>
          <w:tcPr>
            <w:tcW w:type="dxa" w:w="53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初版；L1/L2/L3 与 Injective 能力范围过大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Superseded</w:t>
            </w:r>
          </w:p>
        </w:tc>
      </w:tr>
      <w:tr>
        <w:tc>
          <w:tcPr>
            <w:tcW w:type="dxa" w:w="11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Review</w:t>
            </w:r>
          </w:p>
        </w:tc>
        <w:tc>
          <w:tcPr>
            <w:tcW w:type="dxa" w:w="17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2026-07-25</w:t>
            </w:r>
          </w:p>
        </w:tc>
        <w:tc>
          <w:tcPr>
            <w:tcW w:type="dxa" w:w="5328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开发前审查；提出方案 A/B/C 与 P0 阻断项</w:t>
            </w:r>
          </w:p>
        </w:tc>
        <w:tc>
          <w:tcPr>
            <w:tcW w:type="dxa" w:w="1152"/>
            <w:vAlign w:val="top"/>
            <w:shd w:fill="FAFBFC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Completed</w:t>
            </w:r>
          </w:p>
        </w:tc>
      </w:tr>
      <w:tr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/>
                <w:color w:val="172033"/>
                <w:sz w:val="17"/>
              </w:rPr>
              <w:t>v2.0</w:t>
            </w:r>
          </w:p>
        </w:tc>
        <w:tc>
          <w:tcPr>
            <w:tcW w:type="dxa" w:w="17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2026-07-25</w:t>
            </w:r>
          </w:p>
        </w:tc>
        <w:tc>
          <w:tcPr>
            <w:tcW w:type="dxa" w:w="5328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方案 A + PandaAI + Injective Info Session + 数据/验收/证据</w:t>
            </w:r>
          </w:p>
        </w:tc>
        <w:tc>
          <w:tcPr>
            <w:tcW w:type="dxa" w:w="1152"/>
            <w:vAlign w:val="top"/>
            <w:shd w:fill="FFFFFF"/>
            <w:tcBorders>
              <w:top w:val="single" w:sz="4" w:color="CBD2DC"/>
              <w:left w:val="single" w:sz="4" w:color="CBD2DC"/>
              <w:bottom w:val="single" w:sz="4" w:color="CBD2DC"/>
              <w:right w:val="single" w:sz="4" w:color="CBD2DC"/>
            </w:tcBorders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172033"/>
                <w:sz w:val="17"/>
              </w:rPr>
              <w:t>Ready for final review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7F0"/>
            <w:tcBorders>
              <w:top w:val="single" w:sz="8" w:color="157347"/>
              <w:left w:val="single" w:sz="18" w:color="157347"/>
              <w:bottom w:val="single" w:sz="8" w:color="157347"/>
              <w:right w:val="single" w:sz="8" w:color="157347"/>
            </w:tcBorders>
          </w:tcPr>
          <w:p>
            <w:pPr>
              <w:spacing w:after="60"/>
            </w:pPr>
            <w:r>
              <w:rPr>
                <w:rFonts w:ascii="Arial" w:hAnsi="Arial" w:eastAsia="Hiragino Sans GB"/>
                <w:b/>
                <w:color w:val="157347"/>
                <w:sz w:val="21"/>
              </w:rPr>
              <w:t>最终审批动作</w:t>
            </w:r>
          </w:p>
          <w:p>
            <w:pPr>
              <w:spacing w:after="0"/>
            </w:pPr>
            <w:r>
              <w:rPr>
                <w:rFonts w:ascii="Arial" w:hAnsi="Arial" w:eastAsia="Hiragino Sans GB"/>
                <w:color w:val="172033"/>
                <w:sz w:val="20"/>
              </w:rPr>
              <w:t>团队确认本 v2 后冻结 G0，并按第 17.1 节进入开发。任何扩大到真实资金、新增策略或多用户商业化的变更，必须作为独立版本重新审查。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96579"/>
        <w:sz w:val="16"/>
      </w:rPr>
      <w:t xml:space="preserve">Competition Development Baseline  •  </w:t>
    </w:r>
    <w:r>
      <w:rPr>
        <w:rFonts w:ascii="Arial" w:hAnsi="Arial" w:eastAsia="Hiragino Sans GB"/>
        <w:color w:val="5965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6" w:color="5B3FD3"/>
      </w:pBdr>
    </w:pPr>
    <w:r>
      <w:rPr>
        <w:rFonts w:ascii="Arial" w:hAnsi="Arial" w:eastAsia="Hiragino Sans GB"/>
        <w:b/>
        <w:color w:val="38278B"/>
        <w:sz w:val="16"/>
      </w:rPr>
      <w:t>CARRYPILOT AGENT  /  PRD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left"/>
    </w:pPr>
    <w:rPr>
      <w:rFonts w:ascii="Arial" w:hAnsi="Arial" w:eastAsia="Hiragino Sans GB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rial" w:hAnsi="Arial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1080" w:hanging="360"/>
      <w:contextualSpacing/>
    </w:pPr>
    <w:rPr>
      <w:rFonts w:ascii="Arial" w:hAnsi="Arial" w:eastAsia="Hiragino Sans G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rial" w:hAnsi="Arial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64" w:lineRule="auto"/>
      <w:ind w:left="1080" w:hanging="360"/>
      <w:contextualSpacing/>
    </w:pPr>
    <w:rPr>
      <w:rFonts w:ascii="Arial" w:hAnsi="Arial" w:eastAsia="Hiragino Sans GB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288"/>
      <w:shd w:fill="F6F8FA"/>
    </w:pPr>
    <w:rPr>
      <w:rFonts w:ascii="Menlo" w:hAnsi="Menlo" w:eastAsia="Hiragino Sans G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injective.network/developers-ai/ai-sdk" TargetMode="External"/><Relationship Id="rId12" Type="http://schemas.openxmlformats.org/officeDocument/2006/relationships/hyperlink" Target="https://docs.injective.network/developers-ai/mcp" TargetMode="External"/><Relationship Id="rId13" Type="http://schemas.openxmlformats.org/officeDocument/2006/relationships/hyperlink" Target="https://docs.injective.network/developers-ai/injective-trading-skills" TargetMode="External"/><Relationship Id="rId14" Type="http://schemas.openxmlformats.org/officeDocument/2006/relationships/hyperlink" Target="https://agents.injective.com/start/" TargetMode="External"/><Relationship Id="rId15" Type="http://schemas.openxmlformats.org/officeDocument/2006/relationships/hyperlink" Target="https://docs.injective.network/developers-ai/x402" TargetMode="External"/><Relationship Id="rId16" Type="http://schemas.openxmlformats.org/officeDocument/2006/relationships/hyperlink" Target="https://docs.injective.network/developers-evm/exchange-precompile" TargetMode="External"/><Relationship Id="rId17" Type="http://schemas.openxmlformats.org/officeDocument/2006/relationships/hyperlink" Target="https://hyperliquid.gitbook.io/hyperliquid-docs/trading/funding" TargetMode="External"/><Relationship Id="rId18" Type="http://schemas.openxmlformats.org/officeDocument/2006/relationships/hyperlink" Target="https://hyperliquid.gitbook.io/hyperliquid-docs/for-developers/api/info-endpoint" TargetMode="External"/><Relationship Id="rId19" Type="http://schemas.openxmlformats.org/officeDocument/2006/relationships/hyperlink" Target="https://github.com/hyperliquid-dex/hyperliquid-python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CarryPilot Agent 产品需求文档 v2</dc:title>
  <dc:subject>AI 区块链资金费率套利 Agent — AdventureX 2026 双赛道开发基线</dc:subject>
  <dc:creator>CarryPilot Team</dc:creator>
  <cp:keywords>CarryPilot, A2A, Injective, funding rate, backtest, paper execution</cp:keywords>
  <dc:description>方案 A 已批准；v2 用于最终评审后推进开发。</dc:description>
  <cp:lastModifiedBy>CarryPilot Team</cp:lastModifiedBy>
  <cp:revision>1</cp:revision>
  <dcterms:created xsi:type="dcterms:W3CDTF">2013-12-23T23:15:00Z</dcterms:created>
  <dcterms:modified xsi:type="dcterms:W3CDTF">2013-12-23T23:15:00Z</dcterms:modified>
  <cp:category/>
</cp:coreProperties>
</file>