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E2082">
      <w:pPr>
        <w:pStyle w:val="3"/>
      </w:pPr>
      <w:r>
        <w:t>CarryPilot Agent 产品需求文档（MVP）</w:t>
      </w:r>
    </w:p>
    <w:p w14:paraId="79B1272A">
      <w:pPr>
        <w:pStyle w:val="3"/>
      </w:pPr>
      <w:r>
        <w:t>一、产品定位</w:t>
      </w:r>
    </w:p>
    <w:p w14:paraId="645D6967">
      <w:r>
        <w:t>CarryPilot 是一个 AI 驱动的资金费率套利 Agent。</w:t>
      </w:r>
      <w:r>
        <w:br w:type="textWrapping"/>
      </w:r>
      <w:r>
        <w:t>当前 MVP 聚焦 Hyperliquid 单平台 Spot-Perp Funding Arbitrage。</w:t>
      </w:r>
      <w:r>
        <w:br w:type="textWrapping"/>
      </w:r>
      <w:r>
        <w:t>跨交易所套利、Injective Spot/Perp 套利作为未来扩展方向。</w:t>
      </w:r>
    </w:p>
    <w:p w14:paraId="5ED87315">
      <w:pPr>
        <w:pStyle w:val="3"/>
      </w:pPr>
      <w:r>
        <w:t>二、核心套利逻辑</w:t>
      </w:r>
    </w:p>
    <w:p w14:paraId="6050AD51">
      <w:r>
        <w:t>当永续合约市场多空失衡时，市场参与者需要支付 Funding Rate。</w:t>
      </w:r>
      <w:r>
        <w:br w:type="textWrapping"/>
      </w:r>
      <w:r>
        <w:t>CarryPilot 通过买入现货 + 做空永续，对冲价格方向风险，主要获取 Funding 收益。</w:t>
      </w:r>
      <w:r>
        <w:br w:type="textWrapping"/>
      </w:r>
      <w:r>
        <w:br w:type="textWrapping"/>
      </w:r>
      <w:r>
        <w:t>收益计算：</w:t>
      </w:r>
      <w:r>
        <w:br w:type="textWrapping"/>
      </w:r>
      <w:r>
        <w:t>套利收益 = Funding收入 - 手续费 - 滑点成本 - 资金成本</w:t>
      </w:r>
    </w:p>
    <w:p w14:paraId="1D2B4165">
      <w:pPr>
        <w:pStyle w:val="3"/>
      </w:pPr>
      <w:r>
        <w:t>三、用户流程</w:t>
      </w:r>
    </w:p>
    <w:p w14:paraId="7027CF34">
      <w:r>
        <w:t>1. 用户提出套利需求。</w:t>
      </w:r>
      <w:r>
        <w:br w:type="textWrapping"/>
      </w:r>
      <w:r>
        <w:t>2. 系统读取 Hyperliquid Spot、Perp、Funding、Orderbook 等数据。</w:t>
      </w:r>
      <w:r>
        <w:br w:type="textWrapping"/>
      </w:r>
      <w:r>
        <w:t>3. 套利引擎计算真实收益。</w:t>
      </w:r>
      <w:r>
        <w:br w:type="textWrapping"/>
      </w:r>
      <w:r>
        <w:t>4. AI 输出套利原因、收益和风险。</w:t>
      </w:r>
      <w:r>
        <w:br w:type="textWrapping"/>
      </w:r>
      <w:r>
        <w:t>5. 根据用户权限进入研究、确认执行或自动执行模式。</w:t>
      </w:r>
    </w:p>
    <w:p w14:paraId="726307A0">
      <w:pPr>
        <w:pStyle w:val="3"/>
      </w:pPr>
      <w:r>
        <w:t>四、Agent 使用分级</w:t>
      </w:r>
    </w:p>
    <w:p w14:paraId="0CA41546">
      <w:r>
        <w:t>Level 1 Research Mode：只提供套利研究结果。</w:t>
      </w:r>
      <w:r>
        <w:br w:type="textWrapping"/>
      </w:r>
      <w:r>
        <w:br w:type="textWrapping"/>
      </w:r>
      <w:r>
        <w:t>Level 2 Assisted Execution：用户确认后执行交易。</w:t>
      </w:r>
      <w:r>
        <w:br w:type="textWrapping"/>
      </w:r>
      <w:r>
        <w:br w:type="textWrapping"/>
      </w:r>
      <w:r>
        <w:t>Level 3 Autonomous Mode：用户授权 Agent 自动套利。</w:t>
      </w:r>
      <w:r>
        <w:br w:type="textWrapping"/>
      </w:r>
      <w:r>
        <w:br w:type="textWrapping"/>
      </w:r>
      <w:r>
        <w:t>比赛 MVP 优先实现 Level 1 + Level 2。</w:t>
      </w:r>
    </w:p>
    <w:p w14:paraId="78B992BE">
      <w:pPr>
        <w:pStyle w:val="3"/>
      </w:pPr>
      <w:r>
        <w:t>五、系统模块</w:t>
      </w:r>
    </w:p>
    <w:p w14:paraId="7644E8C3">
      <w:r>
        <w:t>1. Market Data Collector：获取 Hyperliquid 市场数据。</w:t>
      </w:r>
      <w:r>
        <w:br w:type="textWrapping"/>
      </w:r>
      <w:r>
        <w:br w:type="textWrapping"/>
      </w:r>
      <w:r>
        <w:t>2. Opportunity Engine：发现资金费率套利机会。</w:t>
      </w:r>
      <w:r>
        <w:br w:type="textWrapping"/>
      </w:r>
      <w:r>
        <w:br w:type="textWrapping"/>
      </w:r>
      <w:r>
        <w:t>3. Cost Calculator：计算手续费、滑点后的真实收益。</w:t>
      </w:r>
      <w:r>
        <w:br w:type="textWrapping"/>
      </w:r>
      <w:r>
        <w:br w:type="textWrapping"/>
      </w:r>
      <w:r>
        <w:t>4. Risk Engine：检查流动性、Funding稳定性、保证金风险。</w:t>
      </w:r>
      <w:r>
        <w:br w:type="textWrapping"/>
      </w:r>
      <w:r>
        <w:br w:type="textWrapping"/>
      </w:r>
      <w:r>
        <w:t>5. AI Agent Layer：理解需求、调用工具、解释策略。</w:t>
      </w:r>
      <w:r>
        <w:br w:type="textWrapping"/>
      </w:r>
      <w:r>
        <w:br w:type="textWrapping"/>
      </w:r>
      <w:r>
        <w:t>6. Backtest / Paper Engine：验证历史表现和模拟执行。</w:t>
      </w:r>
    </w:p>
    <w:p w14:paraId="14B197C4">
      <w:pPr>
        <w:pStyle w:val="3"/>
      </w:pPr>
      <w:r>
        <w:t>六、Injective 集成方案</w:t>
      </w:r>
    </w:p>
    <w:p w14:paraId="4855A0C4">
      <w:r>
        <w:t>P0：x402 Payment</w:t>
      </w:r>
      <w:r>
        <w:br w:type="textWrapping"/>
      </w:r>
      <w:r>
        <w:t>其他 Agent 可支付 USDC 获取 CarryPilot 套利数据和报告。</w:t>
      </w:r>
      <w:r>
        <w:br w:type="textWrapping"/>
      </w:r>
      <w:r>
        <w:br w:type="textWrapping"/>
      </w:r>
      <w:r>
        <w:t>P1：Receipt 存证</w:t>
      </w:r>
      <w:r>
        <w:br w:type="textWrapping"/>
      </w:r>
      <w:r>
        <w:t>记录策略、数据版本、结果，并将 Hash 写入 Injective。</w:t>
      </w:r>
      <w:r>
        <w:br w:type="textWrapping"/>
      </w:r>
      <w:r>
        <w:br w:type="textWrapping"/>
      </w:r>
      <w:r>
        <w:t>P2：Agent Identity</w:t>
      </w:r>
      <w:r>
        <w:br w:type="textWrapping"/>
      </w:r>
      <w:r>
        <w:t>注册 CarryPilot Agent 身份。</w:t>
      </w:r>
      <w:r>
        <w:br w:type="textWrapping"/>
      </w:r>
    </w:p>
    <w:p w14:paraId="327687DE">
      <w:pPr>
        <w:pStyle w:val="3"/>
      </w:pPr>
      <w:r>
        <w:t>七、未来 Roadmap</w:t>
      </w:r>
    </w:p>
    <w:p w14:paraId="65576130">
      <w:r>
        <w:t>Phase 1：Hyperliquid Spot-Perp Funding Arbitrage。</w:t>
      </w:r>
      <w:r>
        <w:br w:type="textWrapping"/>
      </w:r>
      <w:r>
        <w:br w:type="textWrapping"/>
      </w:r>
      <w:r>
        <w:t>Phase 2：跨市场 Funding Arbitrage。</w:t>
      </w:r>
      <w:r>
        <w:br w:type="textWrapping"/>
      </w:r>
      <w:r>
        <w:br w:type="textWrapping"/>
      </w:r>
      <w:r>
        <w:t>Phase 3：Autonomous Agent 自动执行。</w:t>
      </w:r>
    </w:p>
    <w:p w14:paraId="2585063D">
      <w:pPr>
        <w:pStyle w:val="3"/>
      </w:pPr>
      <w:r>
        <w:t>八、Injective定位</w:t>
      </w:r>
    </w:p>
    <w:p w14:paraId="1268911F">
      <w:r>
        <w:t>Hyperliquid 负责套</w:t>
      </w:r>
      <w:bookmarkStart w:id="0" w:name="_GoBack"/>
      <w:bookmarkEnd w:id="0"/>
      <w:r>
        <w:t>利机会和交易执行。</w:t>
      </w:r>
      <w:r>
        <w:br w:type="textWrapping"/>
      </w:r>
      <w:r>
        <w:t>Injective 负责 Agent 身份、AI 服务支付和可信存证。</w:t>
      </w:r>
      <w:r>
        <w:br w:type="textWrapping"/>
      </w:r>
      <w:r>
        <w:br w:type="textWrapping"/>
      </w:r>
      <w:r>
        <w:t>最终定位：CarryPilot 是 Hyperliquid 上的资金费率套利 Agent，并利用 Injective 构建可信、可支付、可验证的 AI Agent 基础设施。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DD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梁嘉佑</cp:lastModifiedBy>
  <dcterms:modified xsi:type="dcterms:W3CDTF">2026-07-25T10:29:15Z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F495572D1760E8217B1F646AD805B419_42</vt:lpwstr>
  </property>
</Properties>
</file>