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05BCD" w14:textId="77777777" w:rsidR="0095653D" w:rsidRDefault="00721AAD">
      <w:pPr>
        <w:pStyle w:val="a4"/>
      </w:pPr>
      <w:r>
        <w:rPr>
          <w:rFonts w:eastAsia="標楷體"/>
          <w:sz w:val="24"/>
          <w:szCs w:val="24"/>
        </w:rPr>
        <w:t>端側柑橘病蟲害辨識與接地式診斷方法</w:t>
      </w:r>
    </w:p>
    <w:p w14:paraId="1E9E98D9" w14:textId="77777777" w:rsidR="0095653D" w:rsidRDefault="0095653D">
      <w:pPr>
        <w:jc w:val="center"/>
      </w:pPr>
    </w:p>
    <w:p w14:paraId="455A7A59" w14:textId="77777777" w:rsidR="0095653D" w:rsidRDefault="00721AAD">
      <w:pPr>
        <w:jc w:val="center"/>
      </w:pPr>
      <w:r>
        <w:rPr>
          <w:rFonts w:ascii="Times New Roman" w:eastAsia="標楷體" w:hAnsi="Times New Roman" w:cs="Times New Roman"/>
          <w:b/>
          <w:bCs/>
        </w:rPr>
        <w:t>蔡承諺</w:t>
      </w:r>
      <w:r>
        <w:rPr>
          <w:rFonts w:ascii="Times New Roman" w:eastAsia="標楷體" w:hAnsi="Times New Roman" w:cs="Times New Roman"/>
          <w:b/>
          <w:bCs/>
          <w:vertAlign w:val="superscript"/>
        </w:rPr>
        <w:t>1</w:t>
      </w:r>
      <w:r>
        <w:rPr>
          <w:rFonts w:ascii="Times New Roman" w:eastAsia="標楷體" w:hAnsi="Times New Roman" w:cs="Times New Roman"/>
          <w:b/>
          <w:bCs/>
        </w:rPr>
        <w:t>、杜沅瑾</w:t>
      </w:r>
      <w:r>
        <w:rPr>
          <w:rFonts w:ascii="Times New Roman" w:eastAsia="標楷體" w:hAnsi="Times New Roman" w:cs="Times New Roman"/>
          <w:b/>
          <w:bCs/>
          <w:vertAlign w:val="superscript"/>
        </w:rPr>
        <w:t>1</w:t>
      </w:r>
      <w:r>
        <w:rPr>
          <w:rFonts w:ascii="Times New Roman" w:eastAsia="標楷體" w:hAnsi="Times New Roman" w:cs="Times New Roman"/>
          <w:b/>
          <w:bCs/>
        </w:rPr>
        <w:t>、黃宥家</w:t>
      </w:r>
      <w:r>
        <w:rPr>
          <w:rFonts w:ascii="Times New Roman" w:eastAsia="標楷體" w:hAnsi="Times New Roman" w:cs="Times New Roman"/>
          <w:b/>
          <w:bCs/>
          <w:vertAlign w:val="superscript"/>
        </w:rPr>
        <w:t>1</w:t>
      </w:r>
      <w:r>
        <w:rPr>
          <w:rFonts w:ascii="Times New Roman" w:eastAsia="標楷體" w:hAnsi="Times New Roman" w:cs="Times New Roman"/>
          <w:b/>
          <w:bCs/>
        </w:rPr>
        <w:t>、簡辰恩</w:t>
      </w:r>
      <w:r>
        <w:rPr>
          <w:rFonts w:ascii="Times New Roman" w:eastAsia="標楷體" w:hAnsi="Times New Roman" w:cs="Times New Roman"/>
          <w:b/>
          <w:bCs/>
          <w:vertAlign w:val="superscript"/>
        </w:rPr>
        <w:t>1</w:t>
      </w:r>
      <w:r>
        <w:rPr>
          <w:rFonts w:ascii="Times New Roman" w:eastAsia="標楷體" w:hAnsi="Times New Roman" w:cs="Times New Roman"/>
          <w:b/>
          <w:bCs/>
        </w:rPr>
        <w:t>、陳奐瑀</w:t>
      </w:r>
      <w:r>
        <w:rPr>
          <w:rFonts w:ascii="Times New Roman" w:eastAsia="標楷體" w:hAnsi="Times New Roman" w:cs="Times New Roman"/>
          <w:b/>
          <w:bCs/>
          <w:vertAlign w:val="superscript"/>
        </w:rPr>
        <w:t>1,*</w:t>
      </w:r>
    </w:p>
    <w:p w14:paraId="3B14870B" w14:textId="77777777" w:rsidR="0095653D" w:rsidRDefault="00721AAD">
      <w:pPr>
        <w:jc w:val="center"/>
      </w:pPr>
      <w:r>
        <w:rPr>
          <w:rFonts w:ascii="Times New Roman" w:eastAsia="標楷體" w:hAnsi="Times New Roman" w:cs="Times New Roman"/>
          <w:b/>
          <w:bCs/>
          <w:vertAlign w:val="superscript"/>
        </w:rPr>
        <w:t>1</w:t>
      </w:r>
      <w:r>
        <w:rPr>
          <w:rFonts w:ascii="Times New Roman" w:eastAsia="標楷體" w:hAnsi="Times New Roman" w:cs="Times New Roman"/>
          <w:b/>
          <w:bCs/>
        </w:rPr>
        <w:t>國立臺中科技大學資訊工程系</w:t>
      </w:r>
    </w:p>
    <w:p w14:paraId="1D8D7B41" w14:textId="77777777" w:rsidR="0095653D" w:rsidRDefault="00721AAD">
      <w:pPr>
        <w:jc w:val="center"/>
      </w:pPr>
      <w:r>
        <w:rPr>
          <w:rFonts w:ascii="Times New Roman" w:eastAsia="標楷體" w:hAnsi="Times New Roman" w:cs="Times New Roman"/>
          <w:b/>
          <w:bCs/>
        </w:rPr>
        <w:t>404336</w:t>
      </w:r>
      <w:r>
        <w:rPr>
          <w:rFonts w:ascii="Times New Roman" w:eastAsia="標楷體" w:hAnsi="Times New Roman" w:cs="Times New Roman"/>
          <w:b/>
          <w:bCs/>
        </w:rPr>
        <w:t>臺中市北區三民路三段</w:t>
      </w:r>
      <w:r>
        <w:rPr>
          <w:rFonts w:ascii="Times New Roman" w:eastAsia="標楷體" w:hAnsi="Times New Roman" w:cs="Times New Roman"/>
          <w:b/>
          <w:bCs/>
        </w:rPr>
        <w:t>129</w:t>
      </w:r>
      <w:r>
        <w:rPr>
          <w:rFonts w:ascii="Times New Roman" w:eastAsia="標楷體" w:hAnsi="Times New Roman" w:cs="Times New Roman"/>
          <w:b/>
          <w:bCs/>
        </w:rPr>
        <w:t>號</w:t>
      </w:r>
    </w:p>
    <w:p w14:paraId="57BE2050" w14:textId="77777777" w:rsidR="0095653D" w:rsidRDefault="00721AAD">
      <w:pPr>
        <w:jc w:val="center"/>
      </w:pPr>
      <w:r>
        <w:rPr>
          <w:rFonts w:ascii="Times New Roman" w:eastAsia="標楷體" w:hAnsi="Times New Roman" w:cs="Times New Roman"/>
          <w:b/>
          <w:bCs/>
          <w:vertAlign w:val="superscript"/>
        </w:rPr>
        <w:t>*</w:t>
      </w:r>
      <w:r>
        <w:rPr>
          <w:rFonts w:ascii="Times New Roman" w:eastAsia="標楷體" w:hAnsi="Times New Roman" w:cs="Times New Roman"/>
          <w:b/>
          <w:bCs/>
        </w:rPr>
        <w:t>E-mail: hychen@nutc.edu.tw</w:t>
      </w:r>
    </w:p>
    <w:p w14:paraId="33EA83A4" w14:textId="77777777" w:rsidR="0095653D" w:rsidRDefault="0095653D"/>
    <w:p w14:paraId="46C8F79B" w14:textId="77777777" w:rsidR="0095653D" w:rsidRDefault="0095653D">
      <w:pPr>
        <w:sectPr w:rsidR="0095653D" w:rsidSect="00AA572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18" w:right="1418" w:bottom="1418" w:left="1418" w:header="851" w:footer="992" w:gutter="0"/>
          <w:cols w:space="425"/>
          <w:docGrid w:type="linesAndChars" w:linePitch="360"/>
        </w:sectPr>
      </w:pPr>
    </w:p>
    <w:p w14:paraId="26CFC4A9" w14:textId="77777777" w:rsidR="0095653D" w:rsidRDefault="00721AAD">
      <w:pPr>
        <w:pStyle w:val="Abstract"/>
      </w:pPr>
      <w:r>
        <w:t>摘要</w:t>
      </w:r>
    </w:p>
    <w:p w14:paraId="0BB84896" w14:textId="77777777" w:rsidR="0095653D" w:rsidRDefault="00721AAD">
      <w:pPr>
        <w:pStyle w:val="a8"/>
        <w:ind w:firstLineChars="213" w:firstLine="426"/>
      </w:pPr>
      <w:r>
        <w:rPr>
          <w:rFonts w:eastAsia="標楷體"/>
        </w:rPr>
        <w:t>本研究提出完全在地端執行的柑橘病蟲害辨識與接地式診斷方法，針對果園弱網路、行動裝置資源受限與農業建議需可查證等問題，結合輕量化目標偵測、端側檢索增強生成（</w:t>
      </w:r>
      <w:r>
        <w:rPr>
          <w:rFonts w:eastAsia="標楷體"/>
        </w:rPr>
        <w:t>retrieval-augmented generation, RAG</w:t>
      </w:r>
      <w:r>
        <w:rPr>
          <w:rFonts w:eastAsia="標楷體"/>
        </w:rPr>
        <w:t>）、量化小語言模型與安全護欄。研究使用農業部提供的柑橘病蟲害與健康柑橘標註資料集，共九類，訓練、驗證與測試影像分別為</w:t>
      </w:r>
      <w:r>
        <w:rPr>
          <w:rFonts w:eastAsia="標楷體"/>
        </w:rPr>
        <w:t>7,264</w:t>
      </w:r>
      <w:r>
        <w:rPr>
          <w:rFonts w:eastAsia="標楷體"/>
        </w:rPr>
        <w:t>、</w:t>
      </w:r>
      <w:r>
        <w:rPr>
          <w:rFonts w:eastAsia="標楷體"/>
        </w:rPr>
        <w:t>401</w:t>
      </w:r>
      <w:r>
        <w:rPr>
          <w:rFonts w:eastAsia="標楷體"/>
        </w:rPr>
        <w:t>與</w:t>
      </w:r>
      <w:r>
        <w:rPr>
          <w:rFonts w:eastAsia="標楷體"/>
        </w:rPr>
        <w:t>401</w:t>
      </w:r>
      <w:r>
        <w:rPr>
          <w:rFonts w:eastAsia="標楷體"/>
        </w:rPr>
        <w:t>張。影像模型在測試集達</w:t>
      </w:r>
      <w:r>
        <w:rPr>
          <w:rFonts w:eastAsia="標楷體"/>
        </w:rPr>
        <w:t>mAP50=0.861</w:t>
      </w:r>
      <w:r>
        <w:rPr>
          <w:rFonts w:eastAsia="標楷體"/>
        </w:rPr>
        <w:t>、</w:t>
      </w:r>
      <w:r>
        <w:rPr>
          <w:rFonts w:eastAsia="標楷體"/>
        </w:rPr>
        <w:t>mAP50–95=0.641</w:t>
      </w:r>
      <w:r>
        <w:rPr>
          <w:rFonts w:eastAsia="標楷體"/>
        </w:rPr>
        <w:t>；未受標註規則變動影響的八類平均</w:t>
      </w:r>
      <w:r>
        <w:rPr>
          <w:rFonts w:eastAsia="標楷體"/>
        </w:rPr>
        <w:t>AP50</w:t>
      </w:r>
      <w:r>
        <w:rPr>
          <w:rFonts w:eastAsia="標楷體"/>
        </w:rPr>
        <w:t>為</w:t>
      </w:r>
      <w:r>
        <w:rPr>
          <w:rFonts w:eastAsia="標楷體"/>
        </w:rPr>
        <w:t>0.8508</w:t>
      </w:r>
      <w:r>
        <w:rPr>
          <w:rFonts w:eastAsia="標楷體"/>
        </w:rPr>
        <w:t>。端側</w:t>
      </w:r>
      <w:r>
        <w:rPr>
          <w:rFonts w:eastAsia="標楷體"/>
        </w:rPr>
        <w:t>RAG</w:t>
      </w:r>
      <w:r>
        <w:rPr>
          <w:rFonts w:eastAsia="標楷體"/>
        </w:rPr>
        <w:t>以</w:t>
      </w:r>
      <w:r>
        <w:rPr>
          <w:rFonts w:eastAsia="標楷體"/>
        </w:rPr>
        <w:t>33</w:t>
      </w:r>
      <w:r>
        <w:rPr>
          <w:rFonts w:eastAsia="標楷體"/>
        </w:rPr>
        <w:t>筆原子知識切片與自適應</w:t>
      </w:r>
      <w:r>
        <w:rPr>
          <w:rFonts w:eastAsia="標楷體"/>
        </w:rPr>
        <w:t>N-Gram</w:t>
      </w:r>
      <w:r>
        <w:rPr>
          <w:rFonts w:eastAsia="標楷體"/>
        </w:rPr>
        <w:t>檢索支援</w:t>
      </w:r>
      <w:r>
        <w:rPr>
          <w:rFonts w:eastAsia="標楷體"/>
        </w:rPr>
        <w:t>0.5B</w:t>
      </w:r>
      <w:r>
        <w:rPr>
          <w:rFonts w:eastAsia="標楷體"/>
        </w:rPr>
        <w:t>小語言模型，在</w:t>
      </w:r>
      <w:r>
        <w:rPr>
          <w:rFonts w:eastAsia="標楷體"/>
        </w:rPr>
        <w:t>40</w:t>
      </w:r>
      <w:r>
        <w:rPr>
          <w:rFonts w:eastAsia="標楷體"/>
        </w:rPr>
        <w:t>題評測達</w:t>
      </w:r>
      <w:r>
        <w:rPr>
          <w:rFonts w:eastAsia="標楷體"/>
        </w:rPr>
        <w:t>Faithfulness=85.05%</w:t>
      </w:r>
      <w:r>
        <w:rPr>
          <w:rFonts w:eastAsia="標楷體"/>
        </w:rPr>
        <w:t>、</w:t>
      </w:r>
      <w:r>
        <w:rPr>
          <w:rFonts w:eastAsia="標楷體"/>
        </w:rPr>
        <w:t>Context Precision=100.0%</w:t>
      </w:r>
      <w:r>
        <w:rPr>
          <w:rFonts w:eastAsia="標楷體"/>
        </w:rPr>
        <w:t>與</w:t>
      </w:r>
      <w:r>
        <w:rPr>
          <w:rFonts w:eastAsia="標楷體"/>
        </w:rPr>
        <w:t>Context Recall=93.06%</w:t>
      </w:r>
      <w:r>
        <w:rPr>
          <w:rFonts w:eastAsia="標楷體"/>
        </w:rPr>
        <w:t>，四題邊界題皆成功防禦；五階段消融顯示原子切片與安全護欄貢獻最大。</w:t>
      </w:r>
      <w:r>
        <w:rPr>
          <w:rFonts w:eastAsia="標楷體"/>
        </w:rPr>
        <w:t>Samsung Galaxy A33</w:t>
      </w:r>
      <w:r>
        <w:rPr>
          <w:rFonts w:eastAsia="標楷體"/>
        </w:rPr>
        <w:t>單題平均總耗時</w:t>
      </w:r>
      <w:r>
        <w:rPr>
          <w:rFonts w:eastAsia="標楷體"/>
        </w:rPr>
        <w:t>29.98</w:t>
      </w:r>
      <w:r>
        <w:rPr>
          <w:rFonts w:eastAsia="標楷體"/>
        </w:rPr>
        <w:t>秒。端側農業</w:t>
      </w:r>
      <w:r>
        <w:rPr>
          <w:rFonts w:eastAsia="標楷體"/>
        </w:rPr>
        <w:t>AI</w:t>
      </w:r>
      <w:r>
        <w:rPr>
          <w:rFonts w:eastAsia="標楷體"/>
        </w:rPr>
        <w:t>的可靠性須同時考量標註一致性、模型泛化、檢索證據與安全邊界，不能只看單一準確率。</w:t>
      </w:r>
    </w:p>
    <w:p w14:paraId="37C55705" w14:textId="77777777" w:rsidR="0095653D" w:rsidRDefault="00721AAD">
      <w:pPr>
        <w:pStyle w:val="a9"/>
      </w:pPr>
      <w:r>
        <w:rPr>
          <w:rFonts w:eastAsia="標楷體"/>
        </w:rPr>
        <w:t>關鍵字：柑橘病蟲害、目標偵測、端側人工智慧、檢索增強生成、小語言模型</w:t>
      </w:r>
    </w:p>
    <w:p w14:paraId="28A81AF5" w14:textId="77777777" w:rsidR="0095653D" w:rsidRDefault="00721AAD">
      <w:pPr>
        <w:pStyle w:val="Abstract"/>
      </w:pPr>
      <w:r>
        <w:t>Abstract</w:t>
      </w:r>
    </w:p>
    <w:p w14:paraId="541EEF10" w14:textId="77777777" w:rsidR="0095653D" w:rsidRDefault="00721AAD">
      <w:pPr>
        <w:pStyle w:val="ad"/>
      </w:pPr>
      <w:r>
        <w:t>This study presents a fully on-device method for citrus pest and disease recognition and grounded diagnosis. For weak orchard connectivity, limited mobile resources, and verifiable advice, it combines lightweight object detection, on-device retrieval-augmented generation (RAG), a quantized small language model, and safety guardrails. The Ministry of Agriculture's annotated dataset of citrus pests, diseases, and healthy citrus has nine classes and 7,264/401/401 training/validation/test images. The detector r</w:t>
      </w:r>
      <w:r>
        <w:t xml:space="preserve">eaches mAP50 = 0.861 and mAP50–95 = 0.641 on the test set; </w:t>
      </w:r>
      <w:r>
        <w:t>the eight classes unaffected by the annotation-rule change average 0.8508 AP50. With 33 atomic knowledge slices and adaptive N-gram retrieval, the on-device RAG lets a 0.5B model reach Faithfulness = 85.05%, Context Precision = 100.0%, and Context Recall = 93.06% on a 40-question benchmark and defend all four boundary questions; a five-stage ablation shows that atomic slicing and the guardrail contribute most. The average time per question on a Sams</w:t>
      </w:r>
      <w:r>
        <w:t>ung Galaxy A33 is 29.98 s. Reliable on-device agricultural AI must jointly consider annotation consistency, generalization, retrieval evidence, and safety boundaries rather than a single accuracy score.</w:t>
      </w:r>
    </w:p>
    <w:p w14:paraId="41C60C48" w14:textId="77777777" w:rsidR="0095653D" w:rsidRDefault="00721AAD">
      <w:pPr>
        <w:pStyle w:val="ad"/>
        <w:spacing w:before="120"/>
      </w:pPr>
      <w:r>
        <w:rPr>
          <w:b/>
          <w:bCs/>
        </w:rPr>
        <w:t>Keywords</w:t>
      </w:r>
      <w:r>
        <w:t>：</w:t>
      </w:r>
      <w:r>
        <w:t>citrus pests and diseases, object detection, on-device AI, retrieval-augmented generation, small language model</w:t>
      </w:r>
    </w:p>
    <w:p w14:paraId="65D20D55" w14:textId="77777777" w:rsidR="0095653D" w:rsidRDefault="0095653D"/>
    <w:p w14:paraId="4656544A" w14:textId="77777777" w:rsidR="0095653D" w:rsidRDefault="00721AAD">
      <w:pPr>
        <w:pStyle w:val="1"/>
        <w:spacing w:after="120"/>
        <w:ind w:left="284" w:hanging="284"/>
      </w:pPr>
      <w:r>
        <w:t>緒論</w:t>
      </w:r>
    </w:p>
    <w:p w14:paraId="78EC6FA0" w14:textId="77777777" w:rsidR="0095653D" w:rsidRDefault="00721AAD">
      <w:pPr>
        <w:pStyle w:val="ac"/>
      </w:pPr>
      <w:r>
        <w:rPr>
          <w:rFonts w:ascii="Times New Roman" w:eastAsia="標楷體" w:cs="Times New Roman"/>
        </w:rPr>
        <w:t>植物病害辨識是智慧農業的基礎。深度學習已能從葉片影像辨識多種病害</w:t>
      </w:r>
      <w:r>
        <w:rPr>
          <w:rFonts w:ascii="Times New Roman" w:eastAsia="標楷體" w:cs="Times New Roman"/>
        </w:rPr>
        <w:t>[5, 12, 16, 17]</w:t>
      </w:r>
      <w:r>
        <w:rPr>
          <w:rFonts w:ascii="Times New Roman" w:eastAsia="標楷體" w:cs="Times New Roman"/>
        </w:rPr>
        <w:t>，但田間影像常受光照、遮蔽、背景與拍攝裝置影響；農民需要的也不只是類別名稱，還有病徵依據、處置條件與不確定性說明。大型雲端模型在果園現場則受連線、隱私、延遲與服務成本限制。</w:t>
      </w:r>
    </w:p>
    <w:p w14:paraId="218337AD" w14:textId="77777777" w:rsidR="0095653D" w:rsidRDefault="00721AAD">
      <w:pPr>
        <w:pStyle w:val="ac"/>
      </w:pPr>
      <w:r>
        <w:rPr>
          <w:rFonts w:ascii="Times New Roman" w:eastAsia="標楷體" w:cs="Times New Roman"/>
        </w:rPr>
        <w:t>本研究建立行動裝置上的柑橘病蟲害辨識方法：輕量化偵測器定位病蟲害，端側檢索選出與類別、病徵及防治條件相關的切片，由量化小語言模型產生有證據邊界的回答；問題超出知識庫或涉及其他作物時，安全護欄阻止模型以通用先驗補全。</w:t>
      </w:r>
    </w:p>
    <w:p w14:paraId="41FBA6B6" w14:textId="77777777" w:rsidR="0095653D" w:rsidRDefault="00721AAD">
      <w:pPr>
        <w:pStyle w:val="ac"/>
      </w:pPr>
      <w:r>
        <w:rPr>
          <w:rFonts w:ascii="Times New Roman" w:eastAsia="標楷體" w:cs="Times New Roman"/>
        </w:rPr>
        <w:t>本文貢獻為：（</w:t>
      </w:r>
      <w:r>
        <w:rPr>
          <w:rFonts w:ascii="Times New Roman" w:eastAsia="標楷體" w:cs="Times New Roman"/>
        </w:rPr>
        <w:t>1</w:t>
      </w:r>
      <w:r>
        <w:rPr>
          <w:rFonts w:ascii="Times New Roman" w:eastAsia="標楷體" w:cs="Times New Roman"/>
        </w:rPr>
        <w:t>）九類柑橘病蟲害與健康影像的資料驗收及標註一致性評估；（</w:t>
      </w:r>
      <w:r>
        <w:rPr>
          <w:rFonts w:ascii="Times New Roman" w:eastAsia="標楷體" w:cs="Times New Roman"/>
        </w:rPr>
        <w:t>2</w:t>
      </w:r>
      <w:r>
        <w:rPr>
          <w:rFonts w:ascii="Times New Roman" w:eastAsia="標楷體" w:cs="Times New Roman"/>
        </w:rPr>
        <w:t>）結合輕量化偵測、原子知識切片、端側</w:t>
      </w:r>
      <w:r>
        <w:rPr>
          <w:rFonts w:ascii="Times New Roman" w:eastAsia="標楷體" w:cs="Times New Roman"/>
        </w:rPr>
        <w:t>RAG</w:t>
      </w:r>
      <w:r>
        <w:rPr>
          <w:rFonts w:ascii="Times New Roman" w:eastAsia="標楷體" w:cs="Times New Roman"/>
        </w:rPr>
        <w:t>與安全護欄的方法；（</w:t>
      </w:r>
      <w:r>
        <w:rPr>
          <w:rFonts w:ascii="Times New Roman" w:eastAsia="標楷體" w:cs="Times New Roman"/>
        </w:rPr>
        <w:t>3</w:t>
      </w:r>
      <w:r>
        <w:rPr>
          <w:rFonts w:ascii="Times New Roman" w:eastAsia="標楷體" w:cs="Times New Roman"/>
        </w:rPr>
        <w:t>）涵蓋偵測、問答忠實度、檢索品質、拒答能力與行動端延遲的整體評估，並以消融分離各模組貢獻；（</w:t>
      </w:r>
      <w:r>
        <w:rPr>
          <w:rFonts w:ascii="Times New Roman" w:eastAsia="標楷體" w:cs="Times New Roman"/>
        </w:rPr>
        <w:t>4</w:t>
      </w:r>
      <w:r>
        <w:rPr>
          <w:rFonts w:ascii="Times New Roman" w:eastAsia="標楷體" w:cs="Times New Roman"/>
        </w:rPr>
        <w:t>）分析標註尺度、外部影像、硬體負載與安全機制的影響。</w:t>
      </w:r>
    </w:p>
    <w:p w14:paraId="6E377D2A" w14:textId="77777777" w:rsidR="0095653D" w:rsidRDefault="00721AAD">
      <w:pPr>
        <w:pStyle w:val="1"/>
        <w:spacing w:after="120"/>
        <w:ind w:left="284" w:hanging="284"/>
      </w:pPr>
      <w:r>
        <w:lastRenderedPageBreak/>
        <w:t>相關研究</w:t>
      </w:r>
    </w:p>
    <w:p w14:paraId="61C9A76C" w14:textId="77777777" w:rsidR="0095653D" w:rsidRDefault="00721AAD">
      <w:pPr>
        <w:pStyle w:val="2"/>
      </w:pPr>
      <w:r>
        <w:t>植物病害影像辨識</w:t>
      </w:r>
    </w:p>
    <w:p w14:paraId="1028BB1F" w14:textId="77777777" w:rsidR="0095653D" w:rsidRDefault="00721AAD">
      <w:pPr>
        <w:pStyle w:val="ac"/>
      </w:pPr>
      <w:r>
        <w:rPr>
          <w:rFonts w:ascii="Times New Roman" w:eastAsia="標楷體" w:cs="Times New Roman"/>
        </w:rPr>
        <w:t>Mohanty et al. [16]</w:t>
      </w:r>
      <w:r>
        <w:rPr>
          <w:rFonts w:ascii="Times New Roman" w:eastAsia="標楷體" w:cs="Times New Roman"/>
        </w:rPr>
        <w:t>與</w:t>
      </w:r>
      <w:r>
        <w:rPr>
          <w:rFonts w:ascii="Times New Roman" w:eastAsia="標楷體" w:cs="Times New Roman"/>
        </w:rPr>
        <w:t>Ferentinos [5]</w:t>
      </w:r>
      <w:r>
        <w:rPr>
          <w:rFonts w:ascii="Times New Roman" w:eastAsia="標楷體" w:cs="Times New Roman"/>
        </w:rPr>
        <w:t>顯示深度網路可由葉片影像學習病害特徵；</w:t>
      </w:r>
      <w:r>
        <w:rPr>
          <w:rFonts w:ascii="Times New Roman" w:eastAsia="標楷體" w:cs="Times New Roman"/>
        </w:rPr>
        <w:t>Kamilaris and Prenafeta-Boldú [12]</w:t>
      </w:r>
      <w:r>
        <w:rPr>
          <w:rFonts w:ascii="Times New Roman" w:eastAsia="標楷體" w:cs="Times New Roman"/>
        </w:rPr>
        <w:t>整理深度學習在農業影像分析的發展；</w:t>
      </w:r>
      <w:r>
        <w:rPr>
          <w:rFonts w:ascii="Times New Roman" w:eastAsia="標楷體" w:cs="Times New Roman"/>
        </w:rPr>
        <w:t>Pacal et al. [17]</w:t>
      </w:r>
      <w:r>
        <w:rPr>
          <w:rFonts w:ascii="Times New Roman" w:eastAsia="標楷體" w:cs="Times New Roman"/>
        </w:rPr>
        <w:t>指出資料分布、類別不平衡、田間域差異與可解釋性仍是主要挑戰。公開植物健康影像</w:t>
      </w:r>
      <w:r>
        <w:rPr>
          <w:rFonts w:ascii="Times New Roman" w:eastAsia="標楷體" w:cs="Times New Roman"/>
        </w:rPr>
        <w:t>[11]</w:t>
      </w:r>
      <w:r>
        <w:rPr>
          <w:rFonts w:ascii="Times New Roman" w:eastAsia="標楷體" w:cs="Times New Roman"/>
        </w:rPr>
        <w:t>促進行動診斷與跨資料集研究，但與果園現場可能有背景、光照與拍攝距離差異。</w:t>
      </w:r>
    </w:p>
    <w:p w14:paraId="059F426C" w14:textId="77777777" w:rsidR="0095653D" w:rsidRDefault="00721AAD">
      <w:pPr>
        <w:pStyle w:val="2"/>
      </w:pPr>
      <w:r>
        <w:t>輕量化偵測與資料增強</w:t>
      </w:r>
    </w:p>
    <w:p w14:paraId="49C3D884" w14:textId="77777777" w:rsidR="0095653D" w:rsidRDefault="00721AAD">
      <w:pPr>
        <w:pStyle w:val="ac"/>
      </w:pPr>
      <w:r>
        <w:rPr>
          <w:rFonts w:ascii="Times New Roman" w:eastAsia="標楷體" w:cs="Times New Roman"/>
        </w:rPr>
        <w:t>輕量化網路與特徵融合可降低病蟲害辨識的計算成本</w:t>
      </w:r>
      <w:r>
        <w:rPr>
          <w:rFonts w:ascii="Times New Roman" w:eastAsia="標楷體" w:cs="Times New Roman"/>
        </w:rPr>
        <w:t>[1, 4, 6, 8, 22, 23]</w:t>
      </w:r>
      <w:r>
        <w:rPr>
          <w:rFonts w:ascii="Times New Roman" w:eastAsia="標楷體" w:cs="Times New Roman"/>
        </w:rPr>
        <w:t>。</w:t>
      </w:r>
      <w:r>
        <w:rPr>
          <w:rFonts w:ascii="Times New Roman" w:eastAsia="標楷體" w:cs="Times New Roman"/>
        </w:rPr>
        <w:t>ResNet [9]</w:t>
      </w:r>
      <w:r>
        <w:rPr>
          <w:rFonts w:ascii="Times New Roman" w:eastAsia="標楷體" w:cs="Times New Roman"/>
        </w:rPr>
        <w:t>與</w:t>
      </w:r>
      <w:r>
        <w:rPr>
          <w:rFonts w:ascii="Times New Roman" w:eastAsia="標楷體" w:cs="Times New Roman"/>
        </w:rPr>
        <w:t>ImageNet</w:t>
      </w:r>
      <w:r>
        <w:rPr>
          <w:rFonts w:ascii="Times New Roman" w:eastAsia="標楷體" w:cs="Times New Roman"/>
        </w:rPr>
        <w:t>預訓練</w:t>
      </w:r>
      <w:r>
        <w:rPr>
          <w:rFonts w:ascii="Times New Roman" w:eastAsia="標楷體" w:cs="Times New Roman"/>
        </w:rPr>
        <w:t>[2]</w:t>
      </w:r>
      <w:r>
        <w:rPr>
          <w:rFonts w:ascii="Times New Roman" w:eastAsia="標楷體" w:cs="Times New Roman"/>
        </w:rPr>
        <w:t>是深度特徵學習的基礎，</w:t>
      </w:r>
      <w:r>
        <w:rPr>
          <w:rFonts w:ascii="Times New Roman" w:eastAsia="標楷體" w:cs="Times New Roman"/>
        </w:rPr>
        <w:t>Focal Loss [14]</w:t>
      </w:r>
      <w:r>
        <w:rPr>
          <w:rFonts w:ascii="Times New Roman" w:eastAsia="標楷體" w:cs="Times New Roman"/>
        </w:rPr>
        <w:t>可減輕前景與背景不平衡，</w:t>
      </w:r>
      <w:r>
        <w:rPr>
          <w:rFonts w:ascii="Times New Roman" w:eastAsia="標楷體" w:cs="Times New Roman"/>
        </w:rPr>
        <w:t>Grad-CAM [20]</w:t>
      </w:r>
      <w:r>
        <w:rPr>
          <w:rFonts w:ascii="Times New Roman" w:eastAsia="標楷體" w:cs="Times New Roman"/>
        </w:rPr>
        <w:t>則協助理解模型注意區域。資料增強可增加視覺變異，但與田間域不一致時未必能提升泛化</w:t>
      </w:r>
      <w:r>
        <w:rPr>
          <w:rFonts w:ascii="Times New Roman" w:eastAsia="標楷體" w:cs="Times New Roman"/>
        </w:rPr>
        <w:t>[21]</w:t>
      </w:r>
      <w:r>
        <w:rPr>
          <w:rFonts w:ascii="Times New Roman" w:eastAsia="標楷體" w:cs="Times New Roman"/>
        </w:rPr>
        <w:t>，因此本研究同時評估類別級表現、外部影像與裝置持續負載。</w:t>
      </w:r>
    </w:p>
    <w:p w14:paraId="79560B07" w14:textId="77777777" w:rsidR="0095653D" w:rsidRDefault="00721AAD">
      <w:pPr>
        <w:pStyle w:val="2"/>
      </w:pPr>
      <w:r>
        <w:t>端側生成與可信診斷</w:t>
      </w:r>
    </w:p>
    <w:p w14:paraId="74F20BE4" w14:textId="77777777" w:rsidR="0095653D" w:rsidRDefault="00721AAD">
      <w:pPr>
        <w:pStyle w:val="ac"/>
      </w:pPr>
      <w:r>
        <w:rPr>
          <w:rFonts w:ascii="Times New Roman" w:eastAsia="標楷體" w:cs="Times New Roman"/>
        </w:rPr>
        <w:t>影像分類器通常只回傳類別，無法說明病徵依據或處置邊界。</w:t>
      </w:r>
      <w:r>
        <w:rPr>
          <w:rFonts w:ascii="Times New Roman" w:eastAsia="標楷體" w:cs="Times New Roman"/>
        </w:rPr>
        <w:t>LoRA [10]</w:t>
      </w:r>
      <w:r>
        <w:rPr>
          <w:rFonts w:ascii="Times New Roman" w:eastAsia="標楷體" w:cs="Times New Roman"/>
        </w:rPr>
        <w:t>與</w:t>
      </w:r>
      <w:r>
        <w:rPr>
          <w:rFonts w:ascii="Times New Roman" w:eastAsia="標楷體" w:cs="Times New Roman"/>
        </w:rPr>
        <w:t>Qwen2.5 [18]</w:t>
      </w:r>
      <w:r>
        <w:rPr>
          <w:rFonts w:ascii="Times New Roman" w:eastAsia="標楷體" w:cs="Times New Roman"/>
        </w:rPr>
        <w:t>是小型語言模型參數高效調適的基礎；</w:t>
      </w:r>
      <w:r>
        <w:rPr>
          <w:rFonts w:ascii="Times New Roman" w:eastAsia="標楷體" w:cs="Times New Roman"/>
        </w:rPr>
        <w:t>Pocket RAG [13]</w:t>
      </w:r>
      <w:r>
        <w:rPr>
          <w:rFonts w:ascii="Times New Roman" w:eastAsia="標楷體" w:cs="Times New Roman"/>
        </w:rPr>
        <w:t>與</w:t>
      </w:r>
      <w:r>
        <w:rPr>
          <w:rFonts w:ascii="Times New Roman" w:eastAsia="標楷體" w:cs="Times New Roman"/>
        </w:rPr>
        <w:t>edge SLM</w:t>
      </w:r>
      <w:r>
        <w:rPr>
          <w:rFonts w:ascii="Times New Roman" w:eastAsia="標楷體" w:cs="Times New Roman"/>
        </w:rPr>
        <w:t>研究</w:t>
      </w:r>
      <w:r>
        <w:rPr>
          <w:rFonts w:ascii="Times New Roman" w:eastAsia="標楷體" w:cs="Times New Roman"/>
        </w:rPr>
        <w:t>[7]</w:t>
      </w:r>
      <w:r>
        <w:rPr>
          <w:rFonts w:ascii="Times New Roman" w:eastAsia="標楷體" w:cs="Times New Roman"/>
        </w:rPr>
        <w:t>顯示離線裝置上檢索與生成的可行性，</w:t>
      </w:r>
      <w:r>
        <w:rPr>
          <w:rFonts w:ascii="Times New Roman" w:eastAsia="標楷體" w:cs="Times New Roman"/>
        </w:rPr>
        <w:t>DPO [19]</w:t>
      </w:r>
      <w:r>
        <w:rPr>
          <w:rFonts w:ascii="Times New Roman" w:eastAsia="標楷體" w:cs="Times New Roman"/>
        </w:rPr>
        <w:t>則提供另一種偏好對齊方法。</w:t>
      </w:r>
      <w:r>
        <w:rPr>
          <w:rFonts w:ascii="Times New Roman" w:eastAsia="標楷體" w:cs="Times New Roman"/>
        </w:rPr>
        <w:t>RAG</w:t>
      </w:r>
      <w:r>
        <w:rPr>
          <w:rFonts w:ascii="Times New Roman" w:eastAsia="標楷體" w:cs="Times New Roman"/>
        </w:rPr>
        <w:t>讓小語言模型依外部知識回答，但錯誤檢索、跨實體混合與超出知識庫的問題仍可能造成不安全建議。本研究以原子知識切片、</w:t>
      </w:r>
      <w:r>
        <w:rPr>
          <w:rFonts w:ascii="Times New Roman" w:eastAsia="標楷體" w:cs="Times New Roman"/>
        </w:rPr>
        <w:t>Top-K</w:t>
      </w:r>
      <w:r>
        <w:rPr>
          <w:rFonts w:ascii="Times New Roman" w:eastAsia="標楷體" w:cs="Times New Roman"/>
        </w:rPr>
        <w:t>檢索、結構化答案與安全護欄建立可信診斷流程，並參考</w:t>
      </w:r>
      <w:r>
        <w:rPr>
          <w:rFonts w:ascii="Times New Roman" w:eastAsia="標楷體" w:cs="Times New Roman"/>
        </w:rPr>
        <w:t>RAGAS [3]</w:t>
      </w:r>
      <w:r>
        <w:rPr>
          <w:rFonts w:ascii="Times New Roman" w:eastAsia="標楷體" w:cs="Times New Roman"/>
        </w:rPr>
        <w:t>，以</w:t>
      </w:r>
      <w:r>
        <w:rPr>
          <w:rFonts w:ascii="Times New Roman" w:eastAsia="標楷體" w:cs="Times New Roman"/>
        </w:rPr>
        <w:t>Faithfulness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Context Precision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Context Recall</w:t>
      </w:r>
      <w:r>
        <w:rPr>
          <w:rFonts w:ascii="Times New Roman" w:eastAsia="標楷體" w:cs="Times New Roman"/>
        </w:rPr>
        <w:t>與拒答能力為正式評估指標。</w:t>
      </w:r>
    </w:p>
    <w:p w14:paraId="04BF2FE1" w14:textId="77777777" w:rsidR="0095653D" w:rsidRDefault="00721AAD">
      <w:pPr>
        <w:pStyle w:val="1"/>
        <w:spacing w:after="120"/>
        <w:ind w:left="284" w:hanging="284"/>
      </w:pPr>
      <w:r>
        <w:t>研究方法</w:t>
      </w:r>
    </w:p>
    <w:p w14:paraId="359C7C91" w14:textId="77777777" w:rsidR="0095653D" w:rsidRDefault="00721AAD">
      <w:pPr>
        <w:pStyle w:val="2"/>
      </w:pPr>
      <w:r>
        <w:t>資料集與標註</w:t>
      </w:r>
    </w:p>
    <w:p w14:paraId="4F63987F" w14:textId="77777777" w:rsidR="0095653D" w:rsidRDefault="00721AAD">
      <w:pPr>
        <w:pStyle w:val="ac"/>
      </w:pPr>
      <w:r>
        <w:rPr>
          <w:rFonts w:ascii="Times New Roman" w:eastAsia="標楷體" w:cs="Times New Roman"/>
        </w:rPr>
        <w:t>本研究使用農業部</w:t>
      </w:r>
      <w:r>
        <w:rPr>
          <w:rFonts w:ascii="Times New Roman" w:eastAsia="標楷體" w:cs="Times New Roman"/>
        </w:rPr>
        <w:t>[15]</w:t>
      </w:r>
      <w:r>
        <w:rPr>
          <w:rFonts w:ascii="Times New Roman" w:eastAsia="標楷體" w:cs="Times New Roman"/>
        </w:rPr>
        <w:t>提供的柑橘病蟲害與健康柑橘標註資料，包含</w:t>
      </w:r>
      <w:r>
        <w:rPr>
          <w:rFonts w:ascii="Times New Roman" w:eastAsia="標楷體" w:cs="Times New Roman"/>
        </w:rPr>
        <w:t>Sooty_Mold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Black_Spot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Oily_Spot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Aphid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Canker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Thrips_Damage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Citrus_Leaf_Miner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Thrips</w:t>
      </w:r>
      <w:r>
        <w:rPr>
          <w:rFonts w:ascii="Times New Roman" w:eastAsia="標楷體" w:cs="Times New Roman"/>
        </w:rPr>
        <w:t>與</w:t>
      </w:r>
      <w:r>
        <w:rPr>
          <w:rFonts w:ascii="Times New Roman" w:eastAsia="標楷體" w:cs="Times New Roman"/>
        </w:rPr>
        <w:t>Scale_Insect</w:t>
      </w:r>
      <w:r>
        <w:rPr>
          <w:rFonts w:ascii="Times New Roman" w:eastAsia="標楷體" w:cs="Times New Roman"/>
        </w:rPr>
        <w:t>九類；訓</w:t>
      </w:r>
      <w:r>
        <w:rPr>
          <w:rFonts w:ascii="Times New Roman" w:eastAsia="標楷體" w:cs="Times New Roman"/>
        </w:rPr>
        <w:t>練、驗證與測試影像為</w:t>
      </w:r>
      <w:r>
        <w:rPr>
          <w:rFonts w:ascii="Times New Roman" w:eastAsia="標楷體" w:cs="Times New Roman"/>
        </w:rPr>
        <w:t>7,264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401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401</w:t>
      </w:r>
      <w:r>
        <w:rPr>
          <w:rFonts w:ascii="Times New Roman" w:eastAsia="標楷體" w:cs="Times New Roman"/>
        </w:rPr>
        <w:t>張，標註框為</w:t>
      </w:r>
      <w:r>
        <w:rPr>
          <w:rFonts w:ascii="Times New Roman" w:eastAsia="標楷體" w:cs="Times New Roman"/>
        </w:rPr>
        <w:t>18,046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863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812</w:t>
      </w:r>
      <w:r>
        <w:rPr>
          <w:rFonts w:ascii="Times New Roman" w:eastAsia="標楷體" w:cs="Times New Roman"/>
        </w:rPr>
        <w:t>個。為避免同一葉片框法不同造成評估歧義，</w:t>
      </w:r>
      <w:r>
        <w:rPr>
          <w:rFonts w:ascii="Times New Roman" w:eastAsia="標楷體" w:cs="Times New Roman"/>
        </w:rPr>
        <w:t>Thrips_Damage</w:t>
      </w:r>
      <w:r>
        <w:rPr>
          <w:rFonts w:ascii="Times New Roman" w:eastAsia="標楷體" w:cs="Times New Roman"/>
        </w:rPr>
        <w:t>採一葉一框：兩位標註者對同樣</w:t>
      </w:r>
      <w:r>
        <w:rPr>
          <w:rFonts w:ascii="Times New Roman" w:eastAsia="標楷體" w:cs="Times New Roman"/>
        </w:rPr>
        <w:t>20</w:t>
      </w:r>
      <w:r>
        <w:rPr>
          <w:rFonts w:ascii="Times New Roman" w:eastAsia="標楷體" w:cs="Times New Roman"/>
        </w:rPr>
        <w:t>張影像的中位</w:t>
      </w:r>
      <w:r>
        <w:rPr>
          <w:rFonts w:ascii="Times New Roman" w:eastAsia="標楷體" w:cs="Times New Roman"/>
        </w:rPr>
        <w:t>IoU</w:t>
      </w:r>
      <w:r>
        <w:rPr>
          <w:rFonts w:ascii="Times New Roman" w:eastAsia="標楷體" w:cs="Times New Roman"/>
        </w:rPr>
        <w:t>由</w:t>
      </w:r>
      <w:r>
        <w:rPr>
          <w:rFonts w:ascii="Times New Roman" w:eastAsia="標楷體" w:cs="Times New Roman"/>
        </w:rPr>
        <w:t>0.746</w:t>
      </w:r>
      <w:r>
        <w:rPr>
          <w:rFonts w:ascii="Times New Roman" w:eastAsia="標楷體" w:cs="Times New Roman"/>
        </w:rPr>
        <w:t>升至</w:t>
      </w:r>
      <w:r>
        <w:rPr>
          <w:rFonts w:ascii="Times New Roman" w:eastAsia="標楷體" w:cs="Times New Roman"/>
        </w:rPr>
        <w:t>0.899</w:t>
      </w:r>
      <w:r>
        <w:rPr>
          <w:rFonts w:ascii="Times New Roman" w:eastAsia="標楷體" w:cs="Times New Roman"/>
        </w:rPr>
        <w:t>，該類</w:t>
      </w:r>
      <w:r>
        <w:rPr>
          <w:rFonts w:ascii="Times New Roman" w:eastAsia="標楷體" w:cs="Times New Roman"/>
        </w:rPr>
        <w:t>208</w:t>
      </w:r>
      <w:r>
        <w:rPr>
          <w:rFonts w:ascii="Times New Roman" w:eastAsia="標楷體" w:cs="Times New Roman"/>
        </w:rPr>
        <w:t>張依此重標後框數由</w:t>
      </w:r>
      <w:r>
        <w:rPr>
          <w:rFonts w:ascii="Times New Roman" w:eastAsia="標楷體" w:cs="Times New Roman"/>
        </w:rPr>
        <w:t>245</w:t>
      </w:r>
      <w:r>
        <w:rPr>
          <w:rFonts w:ascii="Times New Roman" w:eastAsia="標楷體" w:cs="Times New Roman"/>
        </w:rPr>
        <w:t>降至</w:t>
      </w:r>
      <w:r>
        <w:rPr>
          <w:rFonts w:ascii="Times New Roman" w:eastAsia="標楷體" w:cs="Times New Roman"/>
        </w:rPr>
        <w:t>215</w:t>
      </w:r>
      <w:r>
        <w:rPr>
          <w:rFonts w:ascii="Times New Roman" w:eastAsia="標楷體" w:cs="Times New Roman"/>
        </w:rPr>
        <w:t>，其餘八類不變。切分前已做影像近重複檢查，確認無近重複跨</w:t>
      </w:r>
      <w:r>
        <w:rPr>
          <w:rFonts w:ascii="Times New Roman" w:eastAsia="標楷體" w:cs="Times New Roman"/>
        </w:rPr>
        <w:t>split</w:t>
      </w:r>
      <w:r>
        <w:rPr>
          <w:rFonts w:ascii="Times New Roman" w:eastAsia="標楷體" w:cs="Times New Roman"/>
        </w:rPr>
        <w:t>。</w:t>
      </w:r>
    </w:p>
    <w:p w14:paraId="3ADE2777" w14:textId="77777777" w:rsidR="0095653D" w:rsidRDefault="00721AAD">
      <w:pPr>
        <w:pStyle w:val="2"/>
      </w:pPr>
      <w:r>
        <w:t>影像辨識模型與評估</w:t>
      </w:r>
    </w:p>
    <w:p w14:paraId="779CC636" w14:textId="77777777" w:rsidR="0095653D" w:rsidRDefault="00721AAD">
      <w:pPr>
        <w:pStyle w:val="ac"/>
      </w:pPr>
      <w:r>
        <w:rPr>
          <w:rFonts w:ascii="Times New Roman" w:eastAsia="標楷體" w:cs="Times New Roman"/>
        </w:rPr>
        <w:t>模型採用</w:t>
      </w:r>
      <w:r>
        <w:rPr>
          <w:rFonts w:ascii="Times New Roman" w:eastAsia="標楷體" w:cs="Times New Roman"/>
        </w:rPr>
        <w:t>YOLO26-nano-P2</w:t>
      </w:r>
      <w:r>
        <w:rPr>
          <w:rFonts w:ascii="Times New Roman" w:eastAsia="標楷體" w:cs="Times New Roman"/>
        </w:rPr>
        <w:t>，輸入尺寸</w:t>
      </w:r>
      <w:r>
        <w:rPr>
          <w:rFonts w:ascii="Times New Roman" w:eastAsia="標楷體" w:cs="Times New Roman"/>
        </w:rPr>
        <w:t>640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batch size 20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MuSGD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70 epochs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mosaic=0.7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seed=0</w:t>
      </w:r>
      <w:r>
        <w:rPr>
          <w:rFonts w:ascii="Times New Roman" w:eastAsia="標楷體" w:cs="Times New Roman"/>
        </w:rPr>
        <w:t>，以端到端解碼配置訓練，固定輪數後回報最後一輪權重。評估指標為</w:t>
      </w:r>
      <w:r>
        <w:rPr>
          <w:rFonts w:ascii="Times New Roman" w:eastAsia="標楷體" w:cs="Times New Roman"/>
        </w:rPr>
        <w:t>Precision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Recall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mAP50</w:t>
      </w:r>
      <w:r>
        <w:rPr>
          <w:rFonts w:ascii="Times New Roman" w:eastAsia="標楷體" w:cs="Times New Roman"/>
        </w:rPr>
        <w:t>與</w:t>
      </w:r>
      <w:r>
        <w:rPr>
          <w:rFonts w:ascii="Times New Roman" w:eastAsia="標楷體" w:cs="Times New Roman"/>
        </w:rPr>
        <w:t>mAP50–95</w:t>
      </w:r>
      <w:r>
        <w:rPr>
          <w:rFonts w:ascii="Times New Roman" w:eastAsia="標楷體" w:cs="Times New Roman"/>
        </w:rPr>
        <w:t>，並以信心閾值</w:t>
      </w:r>
      <w:r>
        <w:rPr>
          <w:rFonts w:ascii="Times New Roman" w:eastAsia="標楷體" w:cs="Times New Roman"/>
        </w:rPr>
        <w:t>0.25</w:t>
      </w:r>
      <w:r>
        <w:rPr>
          <w:rFonts w:ascii="Times New Roman" w:eastAsia="標楷體" w:cs="Times New Roman"/>
        </w:rPr>
        <w:t>的混淆矩陣計算</w:t>
      </w:r>
      <w:r>
        <w:rPr>
          <w:rFonts w:ascii="Times New Roman" w:eastAsia="標楷體" w:cs="Times New Roman"/>
        </w:rPr>
        <w:t>TP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FP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FN</w:t>
      </w:r>
      <w:r>
        <w:rPr>
          <w:rFonts w:ascii="Times New Roman" w:eastAsia="標楷體" w:cs="Times New Roman"/>
        </w:rPr>
        <w:t>與</w:t>
      </w:r>
      <w:r>
        <w:rPr>
          <w:rFonts w:ascii="Times New Roman" w:eastAsia="標楷體" w:cs="Times New Roman"/>
        </w:rPr>
        <w:t>Detection Jaccard</w:t>
      </w:r>
      <w:r>
        <w:rPr>
          <w:rFonts w:ascii="Times New Roman" w:eastAsia="標楷體" w:cs="Times New Roman"/>
        </w:rPr>
        <w:t>。驗證集不參與權重選擇，因此將驗證與測試結果合併為</w:t>
      </w:r>
      <w:r>
        <w:rPr>
          <w:rFonts w:ascii="Times New Roman" w:eastAsia="標楷體" w:cs="Times New Roman"/>
        </w:rPr>
        <w:t>pooled</w:t>
      </w:r>
      <w:r>
        <w:rPr>
          <w:rFonts w:ascii="Times New Roman" w:eastAsia="標楷體" w:cs="Times New Roman"/>
        </w:rPr>
        <w:t>評估，並回報各類別的</w:t>
      </w:r>
      <w:r>
        <w:rPr>
          <w:rFonts w:ascii="Times New Roman" w:eastAsia="標楷體" w:cs="Times New Roman"/>
        </w:rPr>
        <w:t xml:space="preserve"> ±2SE</w:t>
      </w:r>
      <w:r>
        <w:rPr>
          <w:rFonts w:ascii="Times New Roman" w:eastAsia="標楷體" w:cs="Times New Roman"/>
        </w:rPr>
        <w:t>。</w:t>
      </w:r>
    </w:p>
    <w:p w14:paraId="546CF87B" w14:textId="77777777" w:rsidR="0095653D" w:rsidRDefault="00721AAD">
      <w:pPr>
        <w:pStyle w:val="2"/>
      </w:pPr>
      <w:r>
        <w:t>端側</w:t>
      </w:r>
      <w:r>
        <w:t>RAG</w:t>
      </w:r>
      <w:r>
        <w:t>與安全護欄</w:t>
      </w:r>
    </w:p>
    <w:p w14:paraId="7385720E" w14:textId="77777777" w:rsidR="0095653D" w:rsidRDefault="00721AAD">
      <w:pPr>
        <w:pStyle w:val="ac"/>
      </w:pPr>
      <w:r>
        <w:rPr>
          <w:rFonts w:ascii="Times New Roman" w:eastAsia="標楷體" w:cs="Times New Roman"/>
        </w:rPr>
        <w:t>知識庫拆為</w:t>
      </w:r>
      <w:r>
        <w:rPr>
          <w:rFonts w:ascii="Times New Roman" w:eastAsia="標楷體" w:cs="Times New Roman"/>
        </w:rPr>
        <w:t>33</w:t>
      </w:r>
      <w:r>
        <w:rPr>
          <w:rFonts w:ascii="Times New Roman" w:eastAsia="標楷體" w:cs="Times New Roman"/>
        </w:rPr>
        <w:t>筆原子切片，涵蓋四種病害、四類害蟲、栽培生理與用藥禁忌，每筆只描述單一主題的病徵與防治處置。檢索以中文</w:t>
      </w:r>
      <w:r>
        <w:rPr>
          <w:rFonts w:ascii="Times New Roman" w:eastAsia="標楷體" w:cs="Times New Roman"/>
        </w:rPr>
        <w:t>2-gram</w:t>
      </w:r>
      <w:r>
        <w:rPr>
          <w:rFonts w:ascii="Times New Roman" w:eastAsia="標楷體" w:cs="Times New Roman"/>
        </w:rPr>
        <w:t>與</w:t>
      </w:r>
      <w:r>
        <w:rPr>
          <w:rFonts w:ascii="Times New Roman" w:eastAsia="標楷體" w:cs="Times New Roman"/>
        </w:rPr>
        <w:t>3-gram</w:t>
      </w:r>
      <w:r>
        <w:rPr>
          <w:rFonts w:ascii="Times New Roman" w:eastAsia="標楷體" w:cs="Times New Roman"/>
        </w:rPr>
        <w:t>覆蓋率排序，並以雙門檻過濾：最少命中數依問句長度為</w:t>
      </w:r>
      <w:r>
        <w:rPr>
          <w:rFonts w:ascii="Times New Roman" w:eastAsia="標楷體" w:cs="Times New Roman"/>
        </w:rPr>
        <w:t>2</w:t>
      </w:r>
      <w:r>
        <w:rPr>
          <w:rFonts w:ascii="Times New Roman" w:eastAsia="標楷體" w:cs="Times New Roman"/>
        </w:rPr>
        <w:t>至</w:t>
      </w:r>
      <w:r>
        <w:rPr>
          <w:rFonts w:ascii="Times New Roman" w:eastAsia="標楷體" w:cs="Times New Roman"/>
        </w:rPr>
        <w:t>4</w:t>
      </w:r>
      <w:r>
        <w:rPr>
          <w:rFonts w:ascii="Times New Roman" w:eastAsia="標楷體" w:cs="Times New Roman"/>
        </w:rPr>
        <w:t>，覆蓋率須達</w:t>
      </w:r>
      <w:r>
        <w:rPr>
          <w:rFonts w:ascii="Times New Roman" w:eastAsia="標楷體" w:cs="Times New Roman"/>
        </w:rPr>
        <w:t>0.10</w:t>
      </w:r>
      <w:r>
        <w:rPr>
          <w:rFonts w:ascii="Times New Roman" w:eastAsia="標楷體" w:cs="Times New Roman"/>
        </w:rPr>
        <w:t>；查詢片段每命中病害名稱一次加權</w:t>
      </w:r>
      <w:r>
        <w:rPr>
          <w:rFonts w:ascii="Times New Roman" w:eastAsia="標楷體" w:cs="Times New Roman"/>
        </w:rPr>
        <w:t>0.35</w:t>
      </w:r>
      <w:r>
        <w:rPr>
          <w:rFonts w:ascii="Times New Roman" w:eastAsia="標楷體" w:cs="Times New Roman"/>
        </w:rPr>
        <w:t>，取</w:t>
      </w:r>
      <w:r>
        <w:rPr>
          <w:rFonts w:ascii="Times New Roman" w:eastAsia="標楷體" w:cs="Times New Roman"/>
        </w:rPr>
        <w:t>Top-K=2</w:t>
      </w:r>
      <w:r>
        <w:rPr>
          <w:rFonts w:ascii="Times New Roman" w:eastAsia="標楷體" w:cs="Times New Roman"/>
        </w:rPr>
        <w:t>。語言模型為</w:t>
      </w:r>
      <w:r>
        <w:rPr>
          <w:rFonts w:ascii="Times New Roman" w:eastAsia="標楷體" w:cs="Times New Roman"/>
        </w:rPr>
        <w:t>LoRA</w:t>
      </w:r>
      <w:r>
        <w:rPr>
          <w:rFonts w:ascii="Times New Roman" w:eastAsia="標楷體" w:cs="Times New Roman"/>
        </w:rPr>
        <w:t>微調的</w:t>
      </w:r>
      <w:r>
        <w:rPr>
          <w:rFonts w:ascii="Times New Roman" w:eastAsia="標楷體" w:cs="Times New Roman"/>
        </w:rPr>
        <w:t>Qwen2.5-0.5B-Instruct</w:t>
      </w:r>
      <w:r>
        <w:rPr>
          <w:rFonts w:ascii="Times New Roman" w:eastAsia="標楷體" w:cs="Times New Roman"/>
        </w:rPr>
        <w:t>，量化為</w:t>
      </w:r>
      <w:r>
        <w:rPr>
          <w:rFonts w:ascii="Times New Roman" w:eastAsia="標楷體" w:cs="Times New Roman"/>
        </w:rPr>
        <w:t>Q4_K_M</w:t>
      </w:r>
      <w:r>
        <w:rPr>
          <w:rFonts w:ascii="Times New Roman" w:eastAsia="標楷體" w:cs="Times New Roman"/>
        </w:rPr>
        <w:t>格式（</w:t>
      </w:r>
      <w:r>
        <w:rPr>
          <w:rFonts w:ascii="Times New Roman" w:eastAsia="標楷體" w:cs="Times New Roman"/>
        </w:rPr>
        <w:t>379 MB</w:t>
      </w:r>
      <w:r>
        <w:rPr>
          <w:rFonts w:ascii="Times New Roman" w:eastAsia="標楷體" w:cs="Times New Roman"/>
        </w:rPr>
        <w:t>），以</w:t>
      </w:r>
      <w:r>
        <w:rPr>
          <w:rFonts w:ascii="Times New Roman" w:eastAsia="標楷體" w:cs="Times New Roman"/>
        </w:rPr>
        <w:t>llama.cpp</w:t>
      </w:r>
      <w:r>
        <w:rPr>
          <w:rFonts w:ascii="Times New Roman" w:eastAsia="標楷體" w:cs="Times New Roman"/>
        </w:rPr>
        <w:t>在手機</w:t>
      </w:r>
      <w:r>
        <w:rPr>
          <w:rFonts w:ascii="Times New Roman" w:eastAsia="標楷體" w:cs="Times New Roman"/>
        </w:rPr>
        <w:t>CPU</w:t>
      </w:r>
      <w:r>
        <w:rPr>
          <w:rFonts w:ascii="Times New Roman" w:eastAsia="標楷體" w:cs="Times New Roman"/>
        </w:rPr>
        <w:t>以</w:t>
      </w:r>
      <w:r>
        <w:rPr>
          <w:rFonts w:ascii="Times New Roman" w:eastAsia="標楷體" w:cs="Times New Roman"/>
        </w:rPr>
        <w:t>4</w:t>
      </w:r>
      <w:r>
        <w:rPr>
          <w:rFonts w:ascii="Times New Roman" w:eastAsia="標楷體" w:cs="Times New Roman"/>
        </w:rPr>
        <w:t>執行緒執行。回答採</w:t>
      </w:r>
      <w:r>
        <w:rPr>
          <w:rFonts w:ascii="Times New Roman" w:eastAsia="標楷體" w:cs="Times New Roman"/>
        </w:rPr>
        <w:t>PREP</w:t>
      </w:r>
      <w:r>
        <w:rPr>
          <w:rFonts w:ascii="Times New Roman" w:eastAsia="標楷體" w:cs="Times New Roman"/>
        </w:rPr>
        <w:t>結構：結論、依據、處方、安全叮嚀。護欄在檢索前攔截非柑橘作物與非農業提問，無切片通過門檻時亦拒答。</w:t>
      </w:r>
    </w:p>
    <w:p w14:paraId="61756816" w14:textId="77777777" w:rsidR="0095653D" w:rsidRDefault="00721AAD">
      <w:pPr>
        <w:pStyle w:val="2"/>
      </w:pPr>
      <w:r>
        <w:t>實驗設計</w:t>
      </w:r>
    </w:p>
    <w:p w14:paraId="70270E7F" w14:textId="77777777" w:rsidR="0095653D" w:rsidRDefault="00721AAD">
      <w:pPr>
        <w:pStyle w:val="ac"/>
      </w:pPr>
      <w:r>
        <w:rPr>
          <w:rFonts w:ascii="Times New Roman" w:eastAsia="標楷體" w:cs="Times New Roman"/>
        </w:rPr>
        <w:t>問答評估分為</w:t>
      </w:r>
      <w:r>
        <w:rPr>
          <w:rFonts w:ascii="Times New Roman" w:eastAsia="標楷體" w:cs="Times New Roman"/>
        </w:rPr>
        <w:t>12</w:t>
      </w:r>
      <w:r>
        <w:rPr>
          <w:rFonts w:ascii="Times New Roman" w:eastAsia="標楷體" w:cs="Times New Roman"/>
        </w:rPr>
        <w:t>題</w:t>
      </w:r>
      <w:r>
        <w:rPr>
          <w:rFonts w:ascii="Times New Roman" w:eastAsia="標楷體" w:cs="Times New Roman"/>
        </w:rPr>
        <w:t>Pilot</w:t>
      </w:r>
      <w:r>
        <w:rPr>
          <w:rFonts w:ascii="Times New Roman" w:eastAsia="標楷體" w:cs="Times New Roman"/>
        </w:rPr>
        <w:t>與</w:t>
      </w:r>
      <w:r>
        <w:rPr>
          <w:rFonts w:ascii="Times New Roman" w:eastAsia="標楷體" w:cs="Times New Roman"/>
        </w:rPr>
        <w:t>40</w:t>
      </w:r>
      <w:r>
        <w:rPr>
          <w:rFonts w:ascii="Times New Roman" w:eastAsia="標楷體" w:cs="Times New Roman"/>
        </w:rPr>
        <w:t>題</w:t>
      </w:r>
      <w:r>
        <w:rPr>
          <w:rFonts w:ascii="Times New Roman" w:eastAsia="標楷體" w:cs="Times New Roman"/>
        </w:rPr>
        <w:t>Full Benchmark</w:t>
      </w:r>
      <w:r>
        <w:rPr>
          <w:rFonts w:ascii="Times New Roman" w:eastAsia="標楷體" w:cs="Times New Roman"/>
        </w:rPr>
        <w:t>，正式結果只用</w:t>
      </w:r>
      <w:r>
        <w:rPr>
          <w:rFonts w:ascii="Times New Roman" w:eastAsia="標楷體" w:cs="Times New Roman"/>
        </w:rPr>
        <w:t>40</w:t>
      </w:r>
      <w:r>
        <w:rPr>
          <w:rFonts w:ascii="Times New Roman" w:eastAsia="標楷體" w:cs="Times New Roman"/>
        </w:rPr>
        <w:t>題：</w:t>
      </w:r>
      <w:r>
        <w:rPr>
          <w:rFonts w:ascii="Times New Roman" w:eastAsia="標楷體" w:cs="Times New Roman"/>
        </w:rPr>
        <w:t>36</w:t>
      </w:r>
      <w:r>
        <w:rPr>
          <w:rFonts w:ascii="Times New Roman" w:eastAsia="標楷體" w:cs="Times New Roman"/>
        </w:rPr>
        <w:t>題柑橘領域題、</w:t>
      </w:r>
      <w:r>
        <w:rPr>
          <w:rFonts w:ascii="Times New Roman" w:eastAsia="標楷體" w:cs="Times New Roman"/>
        </w:rPr>
        <w:t>2</w:t>
      </w:r>
      <w:r>
        <w:rPr>
          <w:rFonts w:ascii="Times New Roman" w:eastAsia="標楷體" w:cs="Times New Roman"/>
        </w:rPr>
        <w:t>題跨作物干擾題與</w:t>
      </w:r>
      <w:r>
        <w:rPr>
          <w:rFonts w:ascii="Times New Roman" w:eastAsia="標楷體" w:cs="Times New Roman"/>
        </w:rPr>
        <w:t>2</w:t>
      </w:r>
      <w:r>
        <w:rPr>
          <w:rFonts w:ascii="Times New Roman" w:eastAsia="標楷體" w:cs="Times New Roman"/>
        </w:rPr>
        <w:t>題領域外題（偽科學誘餌與非農業提問）。指標包括</w:t>
      </w:r>
      <w:r>
        <w:rPr>
          <w:rFonts w:ascii="Times New Roman" w:eastAsia="標楷體" w:cs="Times New Roman"/>
        </w:rPr>
        <w:t>Faithfulness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Context Precision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Context Recall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boundary defense</w:t>
      </w:r>
      <w:r>
        <w:rPr>
          <w:rFonts w:ascii="Times New Roman" w:eastAsia="標楷體" w:cs="Times New Roman"/>
        </w:rPr>
        <w:t>、首次產生時間（</w:t>
      </w:r>
      <w:r>
        <w:rPr>
          <w:rFonts w:ascii="Times New Roman" w:eastAsia="標楷體" w:cs="Times New Roman"/>
        </w:rPr>
        <w:t>TTFT</w:t>
      </w:r>
      <w:r>
        <w:rPr>
          <w:rFonts w:ascii="Times New Roman" w:eastAsia="標楷體" w:cs="Times New Roman"/>
        </w:rPr>
        <w:t>）、解碼速率與端到端延遲。</w:t>
      </w:r>
      <w:r>
        <w:rPr>
          <w:rFonts w:ascii="Times New Roman" w:eastAsia="標楷體" w:cs="Times New Roman"/>
        </w:rPr>
        <w:t>LLM+RAG</w:t>
      </w:r>
      <w:r>
        <w:rPr>
          <w:rFonts w:ascii="Times New Roman" w:eastAsia="標楷體" w:cs="Times New Roman"/>
        </w:rPr>
        <w:t>採五階段累加消融，每階段只加一項：粗粒度切片基線、原子切片、自適應檢索、監督式</w:t>
      </w:r>
      <w:r>
        <w:rPr>
          <w:rFonts w:ascii="Times New Roman" w:eastAsia="標楷體" w:cs="Times New Roman"/>
        </w:rPr>
        <w:lastRenderedPageBreak/>
        <w:t>微調與安全護欄；另比較各手機處理器的持續影像推論。</w:t>
      </w:r>
    </w:p>
    <w:p w14:paraId="25641DAB" w14:textId="77777777" w:rsidR="0095653D" w:rsidRDefault="00721AAD">
      <w:pPr>
        <w:pStyle w:val="1"/>
        <w:spacing w:after="120"/>
        <w:ind w:left="284" w:hanging="284"/>
      </w:pPr>
      <w:r>
        <w:t>實驗結果與討論</w:t>
      </w:r>
    </w:p>
    <w:p w14:paraId="0CD2E298" w14:textId="77777777" w:rsidR="0095653D" w:rsidRDefault="00721AAD">
      <w:pPr>
        <w:pStyle w:val="2"/>
      </w:pPr>
      <w:r>
        <w:t>偵測結果</w:t>
      </w:r>
    </w:p>
    <w:p w14:paraId="114BA0E9" w14:textId="77777777" w:rsidR="0095653D" w:rsidRDefault="00721AAD">
      <w:pPr>
        <w:pStyle w:val="ac"/>
      </w:pPr>
      <w:r>
        <w:rPr>
          <w:rFonts w:ascii="Times New Roman" w:eastAsia="標楷體" w:cs="Times New Roman"/>
        </w:rPr>
        <w:t>圖</w:t>
      </w:r>
      <w:r>
        <w:rPr>
          <w:rFonts w:ascii="Times New Roman" w:eastAsia="標楷體" w:cs="Times New Roman"/>
        </w:rPr>
        <w:t>1</w:t>
      </w:r>
      <w:r>
        <w:rPr>
          <w:rFonts w:ascii="Times New Roman" w:eastAsia="標楷體" w:cs="Times New Roman"/>
        </w:rPr>
        <w:t>為</w:t>
      </w:r>
      <w:r>
        <w:rPr>
          <w:rFonts w:ascii="Times New Roman" w:eastAsia="標楷體" w:cs="Times New Roman"/>
        </w:rPr>
        <w:t>70</w:t>
      </w:r>
      <w:r>
        <w:rPr>
          <w:rFonts w:ascii="Times New Roman" w:eastAsia="標楷體" w:cs="Times New Roman"/>
        </w:rPr>
        <w:t>輪訓練的偵測指標與損失變化（精度指標以驗證集計算），模型在固定設定下逐步收斂；最終結果以測試集指標與類別級分析判讀。</w:t>
      </w:r>
    </w:p>
    <w:p w14:paraId="1D68CD42" w14:textId="77777777" w:rsidR="0095653D" w:rsidRDefault="00721AAD">
      <w:pPr>
        <w:keepNext/>
        <w:snapToGrid w:val="0"/>
        <w:spacing w:before="120"/>
        <w:jc w:val="center"/>
      </w:pPr>
      <w:r>
        <w:rPr>
          <w:noProof/>
        </w:rPr>
        <w:drawing>
          <wp:inline distT="0" distB="0" distL="0" distR="0" wp14:anchorId="602F49BA" wp14:editId="112C5E1B">
            <wp:extent cx="2745105" cy="1372552"/>
            <wp:effectExtent l="0" t="0" r="0" b="0"/>
            <wp:docPr id="1" nam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yolo26n_p2_v13_resul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5105" cy="137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22CF" w14:textId="77777777" w:rsidR="0095653D" w:rsidRDefault="00721AAD">
      <w:pPr>
        <w:pStyle w:val="aa"/>
        <w:spacing w:after="120"/>
      </w:pPr>
      <w:r>
        <w:rPr>
          <w:rFonts w:eastAsia="標楷體"/>
          <w:b/>
          <w:bCs/>
        </w:rPr>
        <w:t>圖</w:t>
      </w:r>
      <w:r>
        <w:rPr>
          <w:rFonts w:eastAsia="標楷體"/>
          <w:b/>
          <w:bCs/>
        </w:rPr>
        <w:t xml:space="preserve">1. </w:t>
      </w:r>
      <w:r>
        <w:rPr>
          <w:rFonts w:eastAsia="標楷體"/>
          <w:b/>
          <w:bCs/>
        </w:rPr>
        <w:t>柑橘病蟲害偵測模型訓練指標</w:t>
      </w:r>
    </w:p>
    <w:p w14:paraId="391F4421" w14:textId="77777777" w:rsidR="0095653D" w:rsidRDefault="00721AAD">
      <w:pPr>
        <w:pStyle w:val="ac"/>
      </w:pPr>
      <w:r>
        <w:rPr>
          <w:rFonts w:ascii="Times New Roman" w:eastAsia="標楷體" w:cs="Times New Roman"/>
        </w:rPr>
        <w:t>圖</w:t>
      </w:r>
      <w:r>
        <w:rPr>
          <w:rFonts w:ascii="Times New Roman" w:eastAsia="標楷體" w:cs="Times New Roman"/>
        </w:rPr>
        <w:t>2</w:t>
      </w:r>
      <w:r>
        <w:rPr>
          <w:rFonts w:ascii="Times New Roman" w:eastAsia="標楷體" w:cs="Times New Roman"/>
        </w:rPr>
        <w:t>為各類別的預測分布與混淆情形。信心閾值</w:t>
      </w:r>
      <w:r>
        <w:rPr>
          <w:rFonts w:ascii="Times New Roman" w:eastAsia="標楷體" w:cs="Times New Roman"/>
        </w:rPr>
        <w:t>0.25</w:t>
      </w:r>
      <w:r>
        <w:rPr>
          <w:rFonts w:ascii="Times New Roman" w:eastAsia="標楷體" w:cs="Times New Roman"/>
        </w:rPr>
        <w:t>下，測試集</w:t>
      </w:r>
      <w:r>
        <w:rPr>
          <w:rFonts w:ascii="Times New Roman" w:eastAsia="標楷體" w:cs="Times New Roman"/>
        </w:rPr>
        <w:t>TP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FP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FN</w:t>
      </w:r>
      <w:r>
        <w:rPr>
          <w:rFonts w:ascii="Times New Roman" w:eastAsia="標楷體" w:cs="Times New Roman"/>
        </w:rPr>
        <w:t>為</w:t>
      </w:r>
      <w:r>
        <w:rPr>
          <w:rFonts w:ascii="Times New Roman" w:eastAsia="標楷體" w:cs="Times New Roman"/>
        </w:rPr>
        <w:t>675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118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135</w:t>
      </w:r>
      <w:r>
        <w:rPr>
          <w:rFonts w:ascii="Times New Roman" w:eastAsia="標楷體" w:cs="Times New Roman"/>
        </w:rPr>
        <w:t>，</w:t>
      </w:r>
      <w:r>
        <w:rPr>
          <w:rFonts w:ascii="Times New Roman" w:eastAsia="標楷體" w:cs="Times New Roman"/>
        </w:rPr>
        <w:t>Detection Jaccard</w:t>
      </w:r>
      <w:r>
        <w:rPr>
          <w:rFonts w:ascii="Times New Roman" w:eastAsia="標楷體" w:cs="Times New Roman"/>
        </w:rPr>
        <w:t>為</w:t>
      </w:r>
      <w:r>
        <w:rPr>
          <w:rFonts w:ascii="Times New Roman" w:eastAsia="標楷體" w:cs="Times New Roman"/>
        </w:rPr>
        <w:t>0.727</w:t>
      </w:r>
      <w:r>
        <w:rPr>
          <w:rFonts w:ascii="Times New Roman" w:eastAsia="標楷體" w:cs="Times New Roman"/>
        </w:rPr>
        <w:t>；類別間互判極少，漏檢多落在背景，以</w:t>
      </w:r>
      <w:r>
        <w:rPr>
          <w:rFonts w:ascii="Times New Roman" w:eastAsia="標楷體" w:cs="Times New Roman"/>
        </w:rPr>
        <w:t>Scale_Insect</w:t>
      </w:r>
      <w:r>
        <w:rPr>
          <w:rFonts w:ascii="Times New Roman" w:eastAsia="標楷體" w:cs="Times New Roman"/>
        </w:rPr>
        <w:t>（</w:t>
      </w:r>
      <w:r>
        <w:rPr>
          <w:rFonts w:ascii="Times New Roman" w:eastAsia="標楷體" w:cs="Times New Roman"/>
        </w:rPr>
        <w:t>0.37</w:t>
      </w:r>
      <w:r>
        <w:rPr>
          <w:rFonts w:ascii="Times New Roman" w:eastAsia="標楷體" w:cs="Times New Roman"/>
        </w:rPr>
        <w:t>）與</w:t>
      </w:r>
      <w:r>
        <w:rPr>
          <w:rFonts w:ascii="Times New Roman" w:eastAsia="標楷體" w:cs="Times New Roman"/>
        </w:rPr>
        <w:t>Citrus_Leaf_Miner</w:t>
      </w:r>
      <w:r>
        <w:rPr>
          <w:rFonts w:ascii="Times New Roman" w:eastAsia="標楷體" w:cs="Times New Roman"/>
        </w:rPr>
        <w:t>（</w:t>
      </w:r>
      <w:r>
        <w:rPr>
          <w:rFonts w:ascii="Times New Roman" w:eastAsia="標楷體" w:cs="Times New Roman"/>
        </w:rPr>
        <w:t>0.36</w:t>
      </w:r>
      <w:r>
        <w:rPr>
          <w:rFonts w:ascii="Times New Roman" w:eastAsia="標楷體" w:cs="Times New Roman"/>
        </w:rPr>
        <w:t>）最高，顯示小目標與背景相似度仍是主要限制。本文方法九類測試</w:t>
      </w:r>
      <w:r>
        <w:rPr>
          <w:rFonts w:ascii="Times New Roman" w:eastAsia="標楷體" w:cs="Times New Roman"/>
        </w:rPr>
        <w:t>mAP50</w:t>
      </w:r>
      <w:r>
        <w:rPr>
          <w:rFonts w:ascii="Times New Roman" w:eastAsia="標楷體" w:cs="Times New Roman"/>
        </w:rPr>
        <w:t>為</w:t>
      </w:r>
      <w:r>
        <w:rPr>
          <w:rFonts w:ascii="Times New Roman" w:eastAsia="標楷體" w:cs="Times New Roman"/>
        </w:rPr>
        <w:t>0.86118</w:t>
      </w:r>
      <w:r>
        <w:rPr>
          <w:rFonts w:ascii="Times New Roman" w:eastAsia="標楷體" w:cs="Times New Roman"/>
        </w:rPr>
        <w:t>，逐類結果見</w:t>
      </w:r>
      <w:r>
        <w:rPr>
          <w:rFonts w:ascii="Times New Roman" w:eastAsia="標楷體" w:cs="Times New Roman"/>
        </w:rPr>
        <w:t>4.5</w:t>
      </w:r>
      <w:r>
        <w:rPr>
          <w:rFonts w:ascii="Times New Roman" w:eastAsia="標楷體" w:cs="Times New Roman"/>
        </w:rPr>
        <w:t>節；</w:t>
      </w:r>
      <w:r>
        <w:rPr>
          <w:rFonts w:ascii="Times New Roman" w:eastAsia="標楷體" w:cs="Times New Roman"/>
        </w:rPr>
        <w:t>Scale_Insect</w:t>
      </w:r>
      <w:r>
        <w:rPr>
          <w:rFonts w:ascii="Times New Roman" w:eastAsia="標楷體" w:cs="Times New Roman"/>
        </w:rPr>
        <w:t>的</w:t>
      </w:r>
      <w:r>
        <w:rPr>
          <w:rFonts w:ascii="Times New Roman" w:eastAsia="標楷體" w:cs="Times New Roman"/>
        </w:rPr>
        <w:t>valid/test</w:t>
      </w:r>
      <w:r>
        <w:rPr>
          <w:rFonts w:ascii="Times New Roman" w:eastAsia="標楷體" w:cs="Times New Roman"/>
        </w:rPr>
        <w:t>差距為</w:t>
      </w:r>
      <w:r>
        <w:rPr>
          <w:rFonts w:ascii="Times New Roman" w:eastAsia="標楷體" w:cs="Times New Roman"/>
        </w:rPr>
        <w:t>0.1738</w:t>
      </w:r>
      <w:r>
        <w:rPr>
          <w:rFonts w:ascii="Times New Roman" w:eastAsia="標楷體" w:cs="Times New Roman"/>
        </w:rPr>
        <w:t>，但同一資料三輪訓練的差距介於</w:t>
      </w:r>
      <w:r>
        <w:rPr>
          <w:rFonts w:ascii="Times New Roman" w:eastAsia="標楷體" w:cs="Times New Roman"/>
        </w:rPr>
        <w:t>0.040</w:t>
      </w:r>
      <w:r>
        <w:rPr>
          <w:rFonts w:ascii="Times New Roman" w:eastAsia="標楷體" w:cs="Times New Roman"/>
        </w:rPr>
        <w:t>至</w:t>
      </w:r>
      <w:r>
        <w:rPr>
          <w:rFonts w:ascii="Times New Roman" w:eastAsia="標楷體" w:cs="Times New Roman"/>
        </w:rPr>
        <w:t>0.174</w:t>
      </w:r>
      <w:r>
        <w:rPr>
          <w:rFonts w:ascii="Times New Roman" w:eastAsia="標楷體" w:cs="Times New Roman"/>
        </w:rPr>
        <w:t>，反映其評估集（各</w:t>
      </w:r>
      <w:r>
        <w:rPr>
          <w:rFonts w:ascii="Times New Roman" w:eastAsia="標楷體" w:cs="Times New Roman"/>
        </w:rPr>
        <w:t>35</w:t>
      </w:r>
      <w:r>
        <w:rPr>
          <w:rFonts w:ascii="Times New Roman" w:eastAsia="標楷體" w:cs="Times New Roman"/>
        </w:rPr>
        <w:t>張）過小。</w:t>
      </w:r>
      <w:r>
        <w:rPr>
          <w:rFonts w:ascii="Times New Roman" w:eastAsia="標楷體" w:cs="Times New Roman"/>
        </w:rPr>
        <w:t>App</w:t>
      </w:r>
      <w:r>
        <w:rPr>
          <w:rFonts w:ascii="Times New Roman" w:eastAsia="標楷體" w:cs="Times New Roman"/>
        </w:rPr>
        <w:t>端</w:t>
      </w:r>
      <w:r>
        <w:rPr>
          <w:rFonts w:ascii="Times New Roman" w:eastAsia="標楷體" w:cs="Times New Roman"/>
        </w:rPr>
        <w:t>TFLite</w:t>
      </w:r>
      <w:r>
        <w:rPr>
          <w:rFonts w:ascii="Times New Roman" w:eastAsia="標楷體" w:cs="Times New Roman"/>
        </w:rPr>
        <w:t>模型因輸入固定為</w:t>
      </w:r>
      <w:r>
        <w:rPr>
          <w:rFonts w:ascii="Times New Roman" w:eastAsia="標楷體" w:cs="Times New Roman"/>
        </w:rPr>
        <w:t>640×640</w:t>
      </w:r>
      <w:r>
        <w:rPr>
          <w:rFonts w:ascii="Times New Roman" w:eastAsia="標楷體" w:cs="Times New Roman"/>
        </w:rPr>
        <w:t>，測試</w:t>
      </w:r>
      <w:r>
        <w:rPr>
          <w:rFonts w:ascii="Times New Roman" w:eastAsia="標楷體" w:cs="Times New Roman"/>
        </w:rPr>
        <w:t>mAP50</w:t>
      </w:r>
      <w:r>
        <w:rPr>
          <w:rFonts w:ascii="Times New Roman" w:eastAsia="標楷體" w:cs="Times New Roman"/>
        </w:rPr>
        <w:t>為</w:t>
      </w:r>
      <w:r>
        <w:rPr>
          <w:rFonts w:ascii="Times New Roman" w:eastAsia="標楷體" w:cs="Times New Roman"/>
        </w:rPr>
        <w:t>0.857</w:t>
      </w:r>
      <w:r>
        <w:rPr>
          <w:rFonts w:ascii="Times New Roman" w:eastAsia="標楷體" w:cs="Times New Roman"/>
        </w:rPr>
        <w:t>。</w:t>
      </w:r>
    </w:p>
    <w:p w14:paraId="7F857329" w14:textId="77777777" w:rsidR="0095653D" w:rsidRDefault="00721AAD">
      <w:pPr>
        <w:keepNext/>
        <w:snapToGrid w:val="0"/>
        <w:spacing w:before="120"/>
        <w:jc w:val="center"/>
      </w:pPr>
      <w:r>
        <w:rPr>
          <w:noProof/>
        </w:rPr>
        <w:drawing>
          <wp:inline distT="0" distB="0" distL="0" distR="0" wp14:anchorId="6E22FD1C" wp14:editId="4F550A11">
            <wp:extent cx="2745105" cy="2058829"/>
            <wp:effectExtent l="0" t="0" r="0" b="0"/>
            <wp:docPr id="2" nam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yolo26n_p2_v13_confusion_matrix_n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5105" cy="20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EF8B" w14:textId="77777777" w:rsidR="0095653D" w:rsidRDefault="00721AAD">
      <w:pPr>
        <w:pStyle w:val="aa"/>
        <w:spacing w:after="120"/>
      </w:pPr>
      <w:r>
        <w:rPr>
          <w:rFonts w:eastAsia="標楷體"/>
          <w:b/>
          <w:bCs/>
        </w:rPr>
        <w:t>圖</w:t>
      </w:r>
      <w:r>
        <w:rPr>
          <w:rFonts w:eastAsia="標楷體"/>
          <w:b/>
          <w:bCs/>
        </w:rPr>
        <w:t xml:space="preserve">2. </w:t>
      </w:r>
      <w:r>
        <w:rPr>
          <w:rFonts w:eastAsia="標楷體"/>
          <w:b/>
          <w:bCs/>
        </w:rPr>
        <w:t>測試集標準化混淆矩陣（信心閾值</w:t>
      </w:r>
      <w:r>
        <w:rPr>
          <w:rFonts w:eastAsia="標楷體"/>
          <w:b/>
          <w:bCs/>
        </w:rPr>
        <w:t>0.25</w:t>
      </w:r>
      <w:r>
        <w:rPr>
          <w:rFonts w:eastAsia="標楷體"/>
          <w:b/>
          <w:bCs/>
        </w:rPr>
        <w:t>）</w:t>
      </w:r>
    </w:p>
    <w:p w14:paraId="3BB586E1" w14:textId="77777777" w:rsidR="0095653D" w:rsidRDefault="00721AAD">
      <w:pPr>
        <w:pStyle w:val="ac"/>
      </w:pPr>
      <w:r>
        <w:rPr>
          <w:rFonts w:ascii="Times New Roman" w:eastAsia="標楷體" w:cs="Times New Roman"/>
        </w:rPr>
        <w:t>外部</w:t>
      </w:r>
      <w:r>
        <w:rPr>
          <w:rFonts w:ascii="Times New Roman" w:eastAsia="標楷體" w:cs="Times New Roman"/>
        </w:rPr>
        <w:t>detached-leaf</w:t>
      </w:r>
      <w:r>
        <w:rPr>
          <w:rFonts w:ascii="Times New Roman" w:eastAsia="標楷體" w:cs="Times New Roman"/>
        </w:rPr>
        <w:t>影像只讓</w:t>
      </w:r>
      <w:r>
        <w:rPr>
          <w:rFonts w:ascii="Times New Roman" w:eastAsia="標楷體" w:cs="Times New Roman"/>
        </w:rPr>
        <w:t>Citrus_Leaf_Miner</w:t>
      </w:r>
      <w:r>
        <w:rPr>
          <w:rFonts w:ascii="Times New Roman" w:eastAsia="標楷體" w:cs="Times New Roman"/>
        </w:rPr>
        <w:t>增加</w:t>
      </w:r>
      <w:r>
        <w:rPr>
          <w:rFonts w:ascii="Times New Roman" w:eastAsia="標楷體" w:cs="Times New Roman"/>
        </w:rPr>
        <w:t>0.0209</w:t>
      </w:r>
      <w:r>
        <w:rPr>
          <w:rFonts w:ascii="Times New Roman" w:eastAsia="標楷體" w:cs="Times New Roman"/>
        </w:rPr>
        <w:t>，低於預設的</w:t>
      </w:r>
      <w:r>
        <w:rPr>
          <w:rFonts w:ascii="Times New Roman" w:eastAsia="標楷體" w:cs="Times New Roman"/>
        </w:rPr>
        <w:t>0.04</w:t>
      </w:r>
      <w:r>
        <w:rPr>
          <w:rFonts w:ascii="Times New Roman" w:eastAsia="標楷體" w:cs="Times New Roman"/>
        </w:rPr>
        <w:t>增益門檻，也與未加入資料的</w:t>
      </w:r>
      <w:r>
        <w:rPr>
          <w:rFonts w:ascii="Times New Roman" w:eastAsia="標楷體" w:cs="Times New Roman"/>
        </w:rPr>
        <w:t>Oily_Spot</w:t>
      </w:r>
      <w:r>
        <w:rPr>
          <w:rFonts w:ascii="Times New Roman" w:eastAsia="標楷體" w:cs="Times New Roman"/>
        </w:rPr>
        <w:t>（</w:t>
      </w:r>
      <w:r>
        <w:rPr>
          <w:rFonts w:ascii="Times New Roman" w:eastAsia="標楷體" w:cs="Times New Roman"/>
        </w:rPr>
        <w:t>+0.0211</w:t>
      </w:r>
      <w:r>
        <w:rPr>
          <w:rFonts w:ascii="Times New Roman" w:eastAsia="標楷體" w:cs="Times New Roman"/>
        </w:rPr>
        <w:t>）相當，表示資料域不匹配時，增加影像不必然改善田間辨識。九類</w:t>
      </w:r>
      <w:r>
        <w:rPr>
          <w:rFonts w:ascii="Times New Roman" w:eastAsia="標楷體" w:cs="Times New Roman"/>
        </w:rPr>
        <w:t>mAP50</w:t>
      </w:r>
      <w:r>
        <w:rPr>
          <w:rFonts w:ascii="Times New Roman" w:eastAsia="標楷體" w:cs="Times New Roman"/>
        </w:rPr>
        <w:t>較舊標註約定的</w:t>
      </w:r>
      <w:r>
        <w:rPr>
          <w:rFonts w:ascii="Times New Roman" w:eastAsia="標楷體" w:cs="Times New Roman"/>
        </w:rPr>
        <w:t>0.8096</w:t>
      </w:r>
      <w:r>
        <w:rPr>
          <w:rFonts w:ascii="Times New Roman" w:eastAsia="標楷體" w:cs="Times New Roman"/>
        </w:rPr>
        <w:t>高</w:t>
      </w:r>
      <w:r>
        <w:rPr>
          <w:rFonts w:ascii="Times New Roman" w:eastAsia="標楷體" w:cs="Times New Roman"/>
        </w:rPr>
        <w:t>0.0516</w:t>
      </w:r>
      <w:r>
        <w:rPr>
          <w:rFonts w:ascii="Times New Roman" w:eastAsia="標楷體" w:cs="Times New Roman"/>
        </w:rPr>
        <w:t>，其中</w:t>
      </w:r>
      <w:r>
        <w:rPr>
          <w:rFonts w:ascii="Times New Roman" w:eastAsia="標楷體" w:cs="Times New Roman"/>
        </w:rPr>
        <w:t>0.0438</w:t>
      </w:r>
      <w:r>
        <w:rPr>
          <w:rFonts w:ascii="Times New Roman" w:eastAsia="標楷體" w:cs="Times New Roman"/>
        </w:rPr>
        <w:t>來自</w:t>
      </w:r>
      <w:r>
        <w:rPr>
          <w:rFonts w:ascii="Times New Roman" w:eastAsia="標楷體" w:cs="Times New Roman"/>
        </w:rPr>
        <w:t>Thrips_Damage</w:t>
      </w:r>
      <w:r>
        <w:rPr>
          <w:rFonts w:ascii="Times New Roman" w:eastAsia="標楷體" w:cs="Times New Roman"/>
        </w:rPr>
        <w:t>的框變大（中位面積由</w:t>
      </w:r>
      <w:r>
        <w:rPr>
          <w:rFonts w:ascii="Times New Roman" w:eastAsia="標楷體" w:cs="Times New Roman"/>
        </w:rPr>
        <w:t>11.30%</w:t>
      </w:r>
      <w:r>
        <w:rPr>
          <w:rFonts w:ascii="Times New Roman" w:eastAsia="標楷體" w:cs="Times New Roman"/>
        </w:rPr>
        <w:t>增為</w:t>
      </w:r>
      <w:r>
        <w:rPr>
          <w:rFonts w:ascii="Times New Roman" w:eastAsia="標楷體" w:cs="Times New Roman"/>
        </w:rPr>
        <w:t>15.40%</w:t>
      </w:r>
      <w:r>
        <w:rPr>
          <w:rFonts w:ascii="Times New Roman" w:eastAsia="標楷體" w:cs="Times New Roman"/>
        </w:rPr>
        <w:t>）；未變動八類平均</w:t>
      </w:r>
      <w:r>
        <w:rPr>
          <w:rFonts w:ascii="Times New Roman" w:eastAsia="標楷體" w:cs="Times New Roman"/>
        </w:rPr>
        <w:t>AP50</w:t>
      </w:r>
      <w:r>
        <w:rPr>
          <w:rFonts w:ascii="Times New Roman" w:eastAsia="標楷體" w:cs="Times New Roman"/>
        </w:rPr>
        <w:t>為</w:t>
      </w:r>
      <w:r>
        <w:rPr>
          <w:rFonts w:ascii="Times New Roman" w:eastAsia="標楷體" w:cs="Times New Roman"/>
        </w:rPr>
        <w:t>0.8508</w:t>
      </w:r>
      <w:r>
        <w:rPr>
          <w:rFonts w:ascii="Times New Roman" w:eastAsia="標楷體" w:cs="Times New Roman"/>
        </w:rPr>
        <w:t>，與舊約定的</w:t>
      </w:r>
      <w:r>
        <w:rPr>
          <w:rFonts w:ascii="Times New Roman" w:eastAsia="標楷體" w:cs="Times New Roman"/>
        </w:rPr>
        <w:t>0.8527</w:t>
      </w:r>
      <w:r>
        <w:rPr>
          <w:rFonts w:ascii="Times New Roman" w:eastAsia="標楷體" w:cs="Times New Roman"/>
        </w:rPr>
        <w:t>接近，因此九類分數的變化不能直接解釋為模型能力全面提升。</w:t>
      </w:r>
    </w:p>
    <w:p w14:paraId="3E044858" w14:textId="77777777" w:rsidR="0095653D" w:rsidRDefault="00721AAD">
      <w:pPr>
        <w:pStyle w:val="2"/>
      </w:pPr>
      <w:r>
        <w:t>接地式診斷結果</w:t>
      </w:r>
    </w:p>
    <w:p w14:paraId="4558334E" w14:textId="77777777" w:rsidR="0095653D" w:rsidRDefault="00721AAD">
      <w:pPr>
        <w:pStyle w:val="ac"/>
      </w:pPr>
      <w:r>
        <w:rPr>
          <w:rFonts w:ascii="Times New Roman" w:eastAsia="標楷體" w:cs="Times New Roman"/>
        </w:rPr>
        <w:t>完整系統（原子切片、自適應檢索、微調與護欄全開）在</w:t>
      </w:r>
      <w:r>
        <w:rPr>
          <w:rFonts w:ascii="Times New Roman" w:eastAsia="標楷體" w:cs="Times New Roman"/>
        </w:rPr>
        <w:t>40</w:t>
      </w:r>
      <w:r>
        <w:rPr>
          <w:rFonts w:ascii="Times New Roman" w:eastAsia="標楷體" w:cs="Times New Roman"/>
        </w:rPr>
        <w:t>題評估中的</w:t>
      </w:r>
      <w:r>
        <w:rPr>
          <w:rFonts w:ascii="Times New Roman" w:eastAsia="標楷體" w:cs="Times New Roman"/>
        </w:rPr>
        <w:t>Faithfulness</w:t>
      </w:r>
      <w:r>
        <w:rPr>
          <w:rFonts w:ascii="Times New Roman" w:eastAsia="標楷體" w:cs="Times New Roman"/>
        </w:rPr>
        <w:t>為</w:t>
      </w:r>
      <w:r>
        <w:rPr>
          <w:rFonts w:ascii="Times New Roman" w:eastAsia="標楷體" w:cs="Times New Roman"/>
        </w:rPr>
        <w:t>85.05%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Context Precision</w:t>
      </w:r>
      <w:r>
        <w:rPr>
          <w:rFonts w:ascii="Times New Roman" w:eastAsia="標楷體" w:cs="Times New Roman"/>
        </w:rPr>
        <w:t>為</w:t>
      </w:r>
      <w:r>
        <w:rPr>
          <w:rFonts w:ascii="Times New Roman" w:eastAsia="標楷體" w:cs="Times New Roman"/>
        </w:rPr>
        <w:t>100.0%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Context Recall</w:t>
      </w:r>
      <w:r>
        <w:rPr>
          <w:rFonts w:ascii="Times New Roman" w:eastAsia="標楷體" w:cs="Times New Roman"/>
        </w:rPr>
        <w:t>為</w:t>
      </w:r>
      <w:r>
        <w:rPr>
          <w:rFonts w:ascii="Times New Roman" w:eastAsia="標楷體" w:cs="Times New Roman"/>
        </w:rPr>
        <w:t>93.06%</w:t>
      </w:r>
      <w:r>
        <w:rPr>
          <w:rFonts w:ascii="Times New Roman" w:eastAsia="標楷體" w:cs="Times New Roman"/>
        </w:rPr>
        <w:t>，四題邊界題皆成功防禦；</w:t>
      </w:r>
      <w:r>
        <w:rPr>
          <w:rFonts w:ascii="Times New Roman" w:eastAsia="標楷體" w:cs="Times New Roman"/>
        </w:rPr>
        <w:t>Context Recall</w:t>
      </w:r>
      <w:r>
        <w:rPr>
          <w:rFonts w:ascii="Times New Roman" w:eastAsia="標楷體" w:cs="Times New Roman"/>
        </w:rPr>
        <w:t>未達</w:t>
      </w:r>
      <w:r>
        <w:rPr>
          <w:rFonts w:ascii="Times New Roman" w:eastAsia="標楷體" w:cs="Times New Roman"/>
        </w:rPr>
        <w:t>100%</w:t>
      </w:r>
      <w:r>
        <w:rPr>
          <w:rFonts w:ascii="Times New Roman" w:eastAsia="標楷體" w:cs="Times New Roman"/>
        </w:rPr>
        <w:t>，表示檢索仍可能遺漏部分答案條件。</w:t>
      </w:r>
    </w:p>
    <w:p w14:paraId="63B52148" w14:textId="77777777" w:rsidR="0095653D" w:rsidRDefault="00721AAD">
      <w:pPr>
        <w:pStyle w:val="ac"/>
      </w:pPr>
      <w:r>
        <w:rPr>
          <w:rFonts w:ascii="Times New Roman" w:eastAsia="標楷體" w:cs="Times New Roman"/>
        </w:rPr>
        <w:t>典型錯誤包括偽造病原學名、混合不同病蟲害的施用禁忌，以及把柑橘建議套用到非柑橘作物。原子切片與答案格式可降低前兩類錯誤；安全護欄則在跨作物、非農業提問或檢索為空時拒答。關閉護欄時，微調後模型對四題邊界題全數未能防禦，未微調模型也僅防禦兩題，顯示安全性是模型、檢索與應用程式共同形成的系統性質。</w:t>
      </w:r>
    </w:p>
    <w:p w14:paraId="36CAC137" w14:textId="77777777" w:rsidR="0095653D" w:rsidRDefault="00721AAD">
      <w:pPr>
        <w:pStyle w:val="2"/>
      </w:pPr>
      <w:r>
        <w:t>LLM+RAG</w:t>
      </w:r>
      <w:r>
        <w:t>消融實驗</w:t>
      </w:r>
    </w:p>
    <w:p w14:paraId="1B6330B3" w14:textId="77777777" w:rsidR="0095653D" w:rsidRDefault="00721AAD">
      <w:pPr>
        <w:pStyle w:val="ac"/>
      </w:pPr>
      <w:r>
        <w:rPr>
          <w:rFonts w:ascii="Times New Roman" w:eastAsia="標楷體" w:cs="Times New Roman"/>
        </w:rPr>
        <w:t>表</w:t>
      </w:r>
      <w:r>
        <w:rPr>
          <w:rFonts w:ascii="Times New Roman" w:eastAsia="標楷體" w:cs="Times New Roman"/>
        </w:rPr>
        <w:t>1</w:t>
      </w:r>
      <w:r>
        <w:rPr>
          <w:rFonts w:ascii="Times New Roman" w:eastAsia="標楷體" w:cs="Times New Roman"/>
        </w:rPr>
        <w:t>為五階段累加消融結果，知識解耦的貢獻最大：階段</w:t>
      </w:r>
      <w:r>
        <w:rPr>
          <w:rFonts w:ascii="Times New Roman" w:eastAsia="標楷體" w:cs="Times New Roman"/>
        </w:rPr>
        <w:t>1</w:t>
      </w:r>
      <w:r>
        <w:rPr>
          <w:rFonts w:ascii="Times New Roman" w:eastAsia="標楷體" w:cs="Times New Roman"/>
        </w:rPr>
        <w:t>的</w:t>
      </w:r>
      <w:r>
        <w:rPr>
          <w:rFonts w:ascii="Times New Roman" w:eastAsia="標楷體" w:cs="Times New Roman"/>
        </w:rPr>
        <w:t>10</w:t>
      </w:r>
      <w:r>
        <w:rPr>
          <w:rFonts w:ascii="Times New Roman" w:eastAsia="標楷體" w:cs="Times New Roman"/>
        </w:rPr>
        <w:t>筆粗粒度切塊使</w:t>
      </w:r>
      <w:r>
        <w:rPr>
          <w:rFonts w:ascii="Times New Roman" w:eastAsia="標楷體" w:cs="Times New Roman"/>
        </w:rPr>
        <w:t>0.5B</w:t>
      </w:r>
      <w:r>
        <w:rPr>
          <w:rFonts w:ascii="Times New Roman" w:eastAsia="標楷體" w:cs="Times New Roman"/>
        </w:rPr>
        <w:t>模型陷入重複輸出，平均輸出達</w:t>
      </w:r>
      <w:r>
        <w:rPr>
          <w:rFonts w:ascii="Times New Roman" w:eastAsia="標楷體" w:cs="Times New Roman"/>
        </w:rPr>
        <w:t>419.7 tokens</w:t>
      </w:r>
      <w:r>
        <w:rPr>
          <w:rFonts w:ascii="Times New Roman" w:eastAsia="標楷體" w:cs="Times New Roman"/>
        </w:rPr>
        <w:t>；改為</w:t>
      </w:r>
      <w:r>
        <w:rPr>
          <w:rFonts w:ascii="Times New Roman" w:eastAsia="標楷體" w:cs="Times New Roman"/>
        </w:rPr>
        <w:t>33</w:t>
      </w:r>
      <w:r>
        <w:rPr>
          <w:rFonts w:ascii="Times New Roman" w:eastAsia="標楷體" w:cs="Times New Roman"/>
        </w:rPr>
        <w:t>筆原子切片後，</w:t>
      </w:r>
      <w:r>
        <w:rPr>
          <w:rFonts w:ascii="Times New Roman" w:eastAsia="標楷體" w:cs="Times New Roman"/>
        </w:rPr>
        <w:t>Faithfulness</w:t>
      </w:r>
      <w:r>
        <w:rPr>
          <w:rFonts w:ascii="Times New Roman" w:eastAsia="標楷體" w:cs="Times New Roman"/>
        </w:rPr>
        <w:t>由</w:t>
      </w:r>
      <w:r>
        <w:rPr>
          <w:rFonts w:ascii="Times New Roman" w:eastAsia="標楷體" w:cs="Times New Roman"/>
        </w:rPr>
        <w:t>22.92%</w:t>
      </w:r>
      <w:r>
        <w:rPr>
          <w:rFonts w:ascii="Times New Roman" w:eastAsia="標楷體" w:cs="Times New Roman"/>
        </w:rPr>
        <w:t>升至</w:t>
      </w:r>
      <w:r>
        <w:rPr>
          <w:rFonts w:ascii="Times New Roman" w:eastAsia="標楷體" w:cs="Times New Roman"/>
        </w:rPr>
        <w:t>83.86%</w:t>
      </w:r>
      <w:r>
        <w:rPr>
          <w:rFonts w:ascii="Times New Roman" w:eastAsia="標楷體" w:cs="Times New Roman"/>
        </w:rPr>
        <w:t>，輸出降至</w:t>
      </w:r>
      <w:r>
        <w:rPr>
          <w:rFonts w:ascii="Times New Roman" w:eastAsia="標楷體" w:cs="Times New Roman"/>
        </w:rPr>
        <w:t>73.6 tokens</w:t>
      </w:r>
      <w:r>
        <w:rPr>
          <w:rFonts w:ascii="Times New Roman" w:eastAsia="標楷體" w:cs="Times New Roman"/>
        </w:rPr>
        <w:t>。參考</w:t>
      </w:r>
      <w:r>
        <w:rPr>
          <w:rFonts w:ascii="Times New Roman" w:eastAsia="標楷體" w:cs="Times New Roman"/>
        </w:rPr>
        <w:t>Pocket RAG [13]</w:t>
      </w:r>
      <w:r>
        <w:rPr>
          <w:rFonts w:ascii="Times New Roman" w:eastAsia="標楷體" w:cs="Times New Roman"/>
        </w:rPr>
        <w:t>的自適應檢索使</w:t>
      </w:r>
      <w:r>
        <w:rPr>
          <w:rFonts w:ascii="Times New Roman" w:eastAsia="標楷體" w:cs="Times New Roman"/>
        </w:rPr>
        <w:t>Context Precision</w:t>
      </w:r>
      <w:r>
        <w:rPr>
          <w:rFonts w:ascii="Times New Roman" w:eastAsia="標楷體" w:cs="Times New Roman"/>
        </w:rPr>
        <w:t>由</w:t>
      </w:r>
      <w:r>
        <w:rPr>
          <w:rFonts w:ascii="Times New Roman" w:eastAsia="標楷體" w:cs="Times New Roman"/>
        </w:rPr>
        <w:t>98.61%</w:t>
      </w:r>
      <w:r>
        <w:rPr>
          <w:rFonts w:ascii="Times New Roman" w:eastAsia="標楷體" w:cs="Times New Roman"/>
        </w:rPr>
        <w:t>升至</w:t>
      </w:r>
      <w:r>
        <w:rPr>
          <w:rFonts w:ascii="Times New Roman" w:eastAsia="標楷體" w:cs="Times New Roman"/>
        </w:rPr>
        <w:t>100.0%</w:t>
      </w:r>
      <w:r>
        <w:rPr>
          <w:rFonts w:ascii="Times New Roman" w:eastAsia="標楷體" w:cs="Times New Roman"/>
        </w:rPr>
        <w:t>，</w:t>
      </w:r>
      <w:r>
        <w:rPr>
          <w:rFonts w:ascii="Times New Roman" w:eastAsia="標楷體" w:cs="Times New Roman"/>
        </w:rPr>
        <w:t>Context Recall</w:t>
      </w:r>
      <w:r>
        <w:rPr>
          <w:rFonts w:ascii="Times New Roman" w:eastAsia="標楷體" w:cs="Times New Roman"/>
        </w:rPr>
        <w:t>由</w:t>
      </w:r>
      <w:r>
        <w:rPr>
          <w:rFonts w:ascii="Times New Roman" w:eastAsia="標楷體" w:cs="Times New Roman"/>
        </w:rPr>
        <w:t>89.58%</w:t>
      </w:r>
      <w:r>
        <w:rPr>
          <w:rFonts w:ascii="Times New Roman" w:eastAsia="標楷體" w:cs="Times New Roman"/>
        </w:rPr>
        <w:t>升至</w:t>
      </w:r>
      <w:r>
        <w:rPr>
          <w:rFonts w:ascii="Times New Roman" w:eastAsia="標楷體" w:cs="Times New Roman"/>
        </w:rPr>
        <w:t>93.06%</w:t>
      </w:r>
      <w:r>
        <w:rPr>
          <w:rFonts w:ascii="Times New Roman" w:eastAsia="標楷體" w:cs="Times New Roman"/>
        </w:rPr>
        <w:t>。</w:t>
      </w:r>
    </w:p>
    <w:tbl>
      <w:tblPr>
        <w:tblW w:w="43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63"/>
        <w:gridCol w:w="612"/>
        <w:gridCol w:w="612"/>
        <w:gridCol w:w="612"/>
        <w:gridCol w:w="524"/>
        <w:gridCol w:w="700"/>
      </w:tblGrid>
      <w:tr w:rsidR="0095653D" w14:paraId="210229DD" w14:textId="77777777">
        <w:trPr>
          <w:cantSplit/>
          <w:jc w:val="center"/>
        </w:trPr>
        <w:tc>
          <w:tcPr>
            <w:tcW w:w="1263" w:type="dxa"/>
            <w:vAlign w:val="center"/>
          </w:tcPr>
          <w:p w14:paraId="47501513" w14:textId="77777777" w:rsidR="0095653D" w:rsidRDefault="00721AAD">
            <w:pPr>
              <w:keepNext/>
              <w:snapToGrid w:val="0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18"/>
                <w:szCs w:val="18"/>
              </w:rPr>
              <w:t>階段</w:t>
            </w:r>
          </w:p>
        </w:tc>
        <w:tc>
          <w:tcPr>
            <w:tcW w:w="612" w:type="dxa"/>
            <w:vAlign w:val="center"/>
          </w:tcPr>
          <w:p w14:paraId="66454FC5" w14:textId="77777777" w:rsidR="0095653D" w:rsidRDefault="00721AAD">
            <w:pPr>
              <w:keepNext/>
              <w:snapToGrid w:val="0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18"/>
                <w:szCs w:val="18"/>
              </w:rPr>
              <w:t>Faith.</w:t>
            </w:r>
          </w:p>
        </w:tc>
        <w:tc>
          <w:tcPr>
            <w:tcW w:w="612" w:type="dxa"/>
            <w:vAlign w:val="center"/>
          </w:tcPr>
          <w:p w14:paraId="0C12188E" w14:textId="77777777" w:rsidR="0095653D" w:rsidRDefault="00721AAD">
            <w:pPr>
              <w:keepNext/>
              <w:snapToGrid w:val="0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18"/>
                <w:szCs w:val="18"/>
              </w:rPr>
              <w:t>CP</w:t>
            </w:r>
          </w:p>
        </w:tc>
        <w:tc>
          <w:tcPr>
            <w:tcW w:w="612" w:type="dxa"/>
            <w:vAlign w:val="center"/>
          </w:tcPr>
          <w:p w14:paraId="2D44A6DA" w14:textId="77777777" w:rsidR="0095653D" w:rsidRDefault="00721AAD">
            <w:pPr>
              <w:keepNext/>
              <w:snapToGrid w:val="0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18"/>
                <w:szCs w:val="18"/>
              </w:rPr>
              <w:t>CR</w:t>
            </w:r>
          </w:p>
        </w:tc>
        <w:tc>
          <w:tcPr>
            <w:tcW w:w="524" w:type="dxa"/>
            <w:vAlign w:val="center"/>
          </w:tcPr>
          <w:p w14:paraId="3DC1B391" w14:textId="77777777" w:rsidR="0095653D" w:rsidRDefault="00721AAD">
            <w:pPr>
              <w:keepNext/>
              <w:snapToGrid w:val="0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18"/>
                <w:szCs w:val="18"/>
              </w:rPr>
              <w:t>防禦</w:t>
            </w:r>
          </w:p>
        </w:tc>
        <w:tc>
          <w:tcPr>
            <w:tcW w:w="700" w:type="dxa"/>
            <w:vAlign w:val="center"/>
          </w:tcPr>
          <w:p w14:paraId="4B128842" w14:textId="77777777" w:rsidR="0095653D" w:rsidRDefault="00721AAD">
            <w:pPr>
              <w:keepNext/>
              <w:snapToGrid w:val="0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18"/>
                <w:szCs w:val="18"/>
              </w:rPr>
              <w:t>總耗時</w:t>
            </w:r>
          </w:p>
        </w:tc>
      </w:tr>
      <w:tr w:rsidR="0095653D" w14:paraId="763817C4" w14:textId="77777777">
        <w:trPr>
          <w:cantSplit/>
          <w:jc w:val="center"/>
        </w:trPr>
        <w:tc>
          <w:tcPr>
            <w:tcW w:w="1263" w:type="dxa"/>
            <w:vAlign w:val="center"/>
          </w:tcPr>
          <w:p w14:paraId="6B0CCD9D" w14:textId="77777777" w:rsidR="0095653D" w:rsidRDefault="00721AAD">
            <w:pPr>
              <w:keepNext/>
              <w:snapToGrid w:val="0"/>
            </w:pP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 xml:space="preserve">1 </w:t>
            </w: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基線</w:t>
            </w:r>
          </w:p>
        </w:tc>
        <w:tc>
          <w:tcPr>
            <w:tcW w:w="612" w:type="dxa"/>
            <w:vAlign w:val="center"/>
          </w:tcPr>
          <w:p w14:paraId="6538E111" w14:textId="77777777" w:rsidR="0095653D" w:rsidRDefault="00721AAD">
            <w:pPr>
              <w:keepNext/>
              <w:snapToGrid w:val="0"/>
              <w:jc w:val="center"/>
            </w:pP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22.92</w:t>
            </w:r>
          </w:p>
        </w:tc>
        <w:tc>
          <w:tcPr>
            <w:tcW w:w="612" w:type="dxa"/>
            <w:vAlign w:val="center"/>
          </w:tcPr>
          <w:p w14:paraId="521F2BB5" w14:textId="77777777" w:rsidR="0095653D" w:rsidRDefault="00721AAD">
            <w:pPr>
              <w:keepNext/>
              <w:snapToGrid w:val="0"/>
              <w:jc w:val="center"/>
            </w:pP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75.00</w:t>
            </w:r>
          </w:p>
        </w:tc>
        <w:tc>
          <w:tcPr>
            <w:tcW w:w="612" w:type="dxa"/>
            <w:vAlign w:val="center"/>
          </w:tcPr>
          <w:p w14:paraId="10DC9320" w14:textId="77777777" w:rsidR="0095653D" w:rsidRDefault="00721AAD">
            <w:pPr>
              <w:keepNext/>
              <w:snapToGrid w:val="0"/>
              <w:jc w:val="center"/>
            </w:pP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44.91</w:t>
            </w:r>
          </w:p>
        </w:tc>
        <w:tc>
          <w:tcPr>
            <w:tcW w:w="524" w:type="dxa"/>
            <w:vAlign w:val="center"/>
          </w:tcPr>
          <w:p w14:paraId="7904FA54" w14:textId="77777777" w:rsidR="0095653D" w:rsidRDefault="00721AAD">
            <w:pPr>
              <w:keepNext/>
              <w:snapToGrid w:val="0"/>
              <w:jc w:val="center"/>
            </w:pP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700" w:type="dxa"/>
            <w:vAlign w:val="center"/>
          </w:tcPr>
          <w:p w14:paraId="4F046233" w14:textId="77777777" w:rsidR="0095653D" w:rsidRDefault="00721AAD">
            <w:pPr>
              <w:keepNext/>
              <w:snapToGrid w:val="0"/>
              <w:jc w:val="center"/>
            </w:pP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37.08</w:t>
            </w:r>
          </w:p>
        </w:tc>
      </w:tr>
      <w:tr w:rsidR="0095653D" w14:paraId="515E4D8B" w14:textId="77777777">
        <w:trPr>
          <w:cantSplit/>
          <w:jc w:val="center"/>
        </w:trPr>
        <w:tc>
          <w:tcPr>
            <w:tcW w:w="1263" w:type="dxa"/>
            <w:vAlign w:val="center"/>
          </w:tcPr>
          <w:p w14:paraId="60F4A0DA" w14:textId="77777777" w:rsidR="0095653D" w:rsidRDefault="00721AAD">
            <w:pPr>
              <w:keepNext/>
              <w:snapToGrid w:val="0"/>
            </w:pP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2 +</w:t>
            </w: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原子切片</w:t>
            </w:r>
          </w:p>
        </w:tc>
        <w:tc>
          <w:tcPr>
            <w:tcW w:w="612" w:type="dxa"/>
            <w:vAlign w:val="center"/>
          </w:tcPr>
          <w:p w14:paraId="23CBC5B5" w14:textId="77777777" w:rsidR="0095653D" w:rsidRDefault="00721AAD">
            <w:pPr>
              <w:keepNext/>
              <w:snapToGrid w:val="0"/>
              <w:jc w:val="center"/>
            </w:pP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83.86</w:t>
            </w:r>
          </w:p>
        </w:tc>
        <w:tc>
          <w:tcPr>
            <w:tcW w:w="612" w:type="dxa"/>
            <w:vAlign w:val="center"/>
          </w:tcPr>
          <w:p w14:paraId="5B6C638E" w14:textId="77777777" w:rsidR="0095653D" w:rsidRDefault="00721AAD">
            <w:pPr>
              <w:keepNext/>
              <w:snapToGrid w:val="0"/>
              <w:jc w:val="center"/>
            </w:pP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98.61</w:t>
            </w:r>
          </w:p>
        </w:tc>
        <w:tc>
          <w:tcPr>
            <w:tcW w:w="612" w:type="dxa"/>
            <w:vAlign w:val="center"/>
          </w:tcPr>
          <w:p w14:paraId="68341E44" w14:textId="77777777" w:rsidR="0095653D" w:rsidRDefault="00721AAD">
            <w:pPr>
              <w:keepNext/>
              <w:snapToGrid w:val="0"/>
              <w:jc w:val="center"/>
            </w:pP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89.58</w:t>
            </w:r>
          </w:p>
        </w:tc>
        <w:tc>
          <w:tcPr>
            <w:tcW w:w="524" w:type="dxa"/>
            <w:vAlign w:val="center"/>
          </w:tcPr>
          <w:p w14:paraId="327A152F" w14:textId="77777777" w:rsidR="0095653D" w:rsidRDefault="00721AAD">
            <w:pPr>
              <w:keepNext/>
              <w:snapToGrid w:val="0"/>
              <w:jc w:val="center"/>
            </w:pP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700" w:type="dxa"/>
            <w:vAlign w:val="center"/>
          </w:tcPr>
          <w:p w14:paraId="108B76EE" w14:textId="77777777" w:rsidR="0095653D" w:rsidRDefault="00721AAD">
            <w:pPr>
              <w:keepNext/>
              <w:snapToGrid w:val="0"/>
              <w:jc w:val="center"/>
            </w:pP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21.55</w:t>
            </w:r>
          </w:p>
        </w:tc>
      </w:tr>
      <w:tr w:rsidR="0095653D" w14:paraId="6DDA3539" w14:textId="77777777">
        <w:trPr>
          <w:cantSplit/>
          <w:jc w:val="center"/>
        </w:trPr>
        <w:tc>
          <w:tcPr>
            <w:tcW w:w="1263" w:type="dxa"/>
            <w:vAlign w:val="center"/>
          </w:tcPr>
          <w:p w14:paraId="29D1B978" w14:textId="77777777" w:rsidR="0095653D" w:rsidRDefault="00721AAD">
            <w:pPr>
              <w:keepNext/>
              <w:snapToGrid w:val="0"/>
            </w:pP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3 +</w:t>
            </w: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自適應檢索</w:t>
            </w:r>
          </w:p>
        </w:tc>
        <w:tc>
          <w:tcPr>
            <w:tcW w:w="612" w:type="dxa"/>
            <w:vAlign w:val="center"/>
          </w:tcPr>
          <w:p w14:paraId="6DC5009D" w14:textId="77777777" w:rsidR="0095653D" w:rsidRDefault="00721AAD">
            <w:pPr>
              <w:keepNext/>
              <w:snapToGrid w:val="0"/>
              <w:jc w:val="center"/>
            </w:pP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82.64</w:t>
            </w:r>
          </w:p>
        </w:tc>
        <w:tc>
          <w:tcPr>
            <w:tcW w:w="612" w:type="dxa"/>
            <w:vAlign w:val="center"/>
          </w:tcPr>
          <w:p w14:paraId="39B586F0" w14:textId="77777777" w:rsidR="0095653D" w:rsidRDefault="00721AAD">
            <w:pPr>
              <w:keepNext/>
              <w:snapToGrid w:val="0"/>
              <w:jc w:val="center"/>
            </w:pP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100.0</w:t>
            </w:r>
          </w:p>
        </w:tc>
        <w:tc>
          <w:tcPr>
            <w:tcW w:w="612" w:type="dxa"/>
            <w:vAlign w:val="center"/>
          </w:tcPr>
          <w:p w14:paraId="0406816E" w14:textId="77777777" w:rsidR="0095653D" w:rsidRDefault="00721AAD">
            <w:pPr>
              <w:keepNext/>
              <w:snapToGrid w:val="0"/>
              <w:jc w:val="center"/>
            </w:pP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93.06</w:t>
            </w:r>
          </w:p>
        </w:tc>
        <w:tc>
          <w:tcPr>
            <w:tcW w:w="524" w:type="dxa"/>
            <w:vAlign w:val="center"/>
          </w:tcPr>
          <w:p w14:paraId="089FFD15" w14:textId="77777777" w:rsidR="0095653D" w:rsidRDefault="00721AAD">
            <w:pPr>
              <w:keepNext/>
              <w:snapToGrid w:val="0"/>
              <w:jc w:val="center"/>
            </w:pP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700" w:type="dxa"/>
            <w:vAlign w:val="center"/>
          </w:tcPr>
          <w:p w14:paraId="7CBCB0DE" w14:textId="77777777" w:rsidR="0095653D" w:rsidRDefault="00721AAD">
            <w:pPr>
              <w:keepNext/>
              <w:snapToGrid w:val="0"/>
              <w:jc w:val="center"/>
            </w:pP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22.61</w:t>
            </w:r>
          </w:p>
        </w:tc>
      </w:tr>
      <w:tr w:rsidR="0095653D" w14:paraId="49DA6CD0" w14:textId="77777777">
        <w:trPr>
          <w:cantSplit/>
          <w:jc w:val="center"/>
        </w:trPr>
        <w:tc>
          <w:tcPr>
            <w:tcW w:w="1263" w:type="dxa"/>
            <w:vAlign w:val="center"/>
          </w:tcPr>
          <w:p w14:paraId="6738C038" w14:textId="77777777" w:rsidR="0095653D" w:rsidRDefault="00721AAD">
            <w:pPr>
              <w:keepNext/>
              <w:snapToGrid w:val="0"/>
            </w:pP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4 +</w:t>
            </w: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監督式微調</w:t>
            </w:r>
          </w:p>
        </w:tc>
        <w:tc>
          <w:tcPr>
            <w:tcW w:w="612" w:type="dxa"/>
            <w:vAlign w:val="center"/>
          </w:tcPr>
          <w:p w14:paraId="07330F92" w14:textId="77777777" w:rsidR="0095653D" w:rsidRDefault="00721AAD">
            <w:pPr>
              <w:keepNext/>
              <w:snapToGrid w:val="0"/>
              <w:jc w:val="center"/>
            </w:pP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87.04</w:t>
            </w:r>
          </w:p>
        </w:tc>
        <w:tc>
          <w:tcPr>
            <w:tcW w:w="612" w:type="dxa"/>
            <w:vAlign w:val="center"/>
          </w:tcPr>
          <w:p w14:paraId="4CE904BE" w14:textId="77777777" w:rsidR="0095653D" w:rsidRDefault="00721AAD">
            <w:pPr>
              <w:keepNext/>
              <w:snapToGrid w:val="0"/>
              <w:jc w:val="center"/>
            </w:pP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100.0</w:t>
            </w:r>
          </w:p>
        </w:tc>
        <w:tc>
          <w:tcPr>
            <w:tcW w:w="612" w:type="dxa"/>
            <w:vAlign w:val="center"/>
          </w:tcPr>
          <w:p w14:paraId="2267C96A" w14:textId="77777777" w:rsidR="0095653D" w:rsidRDefault="00721AAD">
            <w:pPr>
              <w:keepNext/>
              <w:snapToGrid w:val="0"/>
              <w:jc w:val="center"/>
            </w:pP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93.06</w:t>
            </w:r>
          </w:p>
        </w:tc>
        <w:tc>
          <w:tcPr>
            <w:tcW w:w="524" w:type="dxa"/>
            <w:vAlign w:val="center"/>
          </w:tcPr>
          <w:p w14:paraId="02A69990" w14:textId="77777777" w:rsidR="0095653D" w:rsidRDefault="00721AAD">
            <w:pPr>
              <w:keepNext/>
              <w:snapToGrid w:val="0"/>
              <w:jc w:val="center"/>
            </w:pP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700" w:type="dxa"/>
            <w:vAlign w:val="center"/>
          </w:tcPr>
          <w:p w14:paraId="4C5DE9AD" w14:textId="77777777" w:rsidR="0095653D" w:rsidRDefault="00721AAD">
            <w:pPr>
              <w:keepNext/>
              <w:snapToGrid w:val="0"/>
              <w:jc w:val="center"/>
            </w:pP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30.85</w:t>
            </w:r>
          </w:p>
        </w:tc>
      </w:tr>
      <w:tr w:rsidR="0095653D" w14:paraId="57E3E41B" w14:textId="77777777">
        <w:trPr>
          <w:cantSplit/>
          <w:jc w:val="center"/>
        </w:trPr>
        <w:tc>
          <w:tcPr>
            <w:tcW w:w="1263" w:type="dxa"/>
            <w:vAlign w:val="center"/>
          </w:tcPr>
          <w:p w14:paraId="5B8D45AC" w14:textId="77777777" w:rsidR="0095653D" w:rsidRDefault="00721AAD">
            <w:pPr>
              <w:keepNext/>
              <w:snapToGrid w:val="0"/>
            </w:pP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5 +</w:t>
            </w: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安全護欄</w:t>
            </w:r>
          </w:p>
        </w:tc>
        <w:tc>
          <w:tcPr>
            <w:tcW w:w="612" w:type="dxa"/>
            <w:vAlign w:val="center"/>
          </w:tcPr>
          <w:p w14:paraId="55B6B6B8" w14:textId="77777777" w:rsidR="0095653D" w:rsidRDefault="00721AAD">
            <w:pPr>
              <w:keepNext/>
              <w:snapToGrid w:val="0"/>
              <w:jc w:val="center"/>
            </w:pP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85.05</w:t>
            </w:r>
          </w:p>
        </w:tc>
        <w:tc>
          <w:tcPr>
            <w:tcW w:w="612" w:type="dxa"/>
            <w:vAlign w:val="center"/>
          </w:tcPr>
          <w:p w14:paraId="5D8C8583" w14:textId="77777777" w:rsidR="0095653D" w:rsidRDefault="00721AAD">
            <w:pPr>
              <w:keepNext/>
              <w:snapToGrid w:val="0"/>
              <w:jc w:val="center"/>
            </w:pP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100.0</w:t>
            </w:r>
          </w:p>
        </w:tc>
        <w:tc>
          <w:tcPr>
            <w:tcW w:w="612" w:type="dxa"/>
            <w:vAlign w:val="center"/>
          </w:tcPr>
          <w:p w14:paraId="72EAD62B" w14:textId="77777777" w:rsidR="0095653D" w:rsidRDefault="00721AAD">
            <w:pPr>
              <w:keepNext/>
              <w:snapToGrid w:val="0"/>
              <w:jc w:val="center"/>
            </w:pP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93.06</w:t>
            </w:r>
          </w:p>
        </w:tc>
        <w:tc>
          <w:tcPr>
            <w:tcW w:w="524" w:type="dxa"/>
            <w:vAlign w:val="center"/>
          </w:tcPr>
          <w:p w14:paraId="362718D2" w14:textId="77777777" w:rsidR="0095653D" w:rsidRDefault="00721AAD">
            <w:pPr>
              <w:keepNext/>
              <w:snapToGrid w:val="0"/>
              <w:jc w:val="center"/>
            </w:pP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700" w:type="dxa"/>
            <w:vAlign w:val="center"/>
          </w:tcPr>
          <w:p w14:paraId="14F00B08" w14:textId="77777777" w:rsidR="0095653D" w:rsidRDefault="00721AAD">
            <w:pPr>
              <w:keepNext/>
              <w:snapToGrid w:val="0"/>
              <w:jc w:val="center"/>
            </w:pP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29.98</w:t>
            </w:r>
          </w:p>
        </w:tc>
      </w:tr>
    </w:tbl>
    <w:p w14:paraId="5CB2D478" w14:textId="77777777" w:rsidR="0095653D" w:rsidRDefault="00721AAD">
      <w:pPr>
        <w:pStyle w:val="aa"/>
        <w:spacing w:after="120"/>
        <w:jc w:val="left"/>
      </w:pPr>
      <w:r>
        <w:rPr>
          <w:rFonts w:eastAsia="標楷體"/>
          <w:b/>
          <w:bCs/>
        </w:rPr>
        <w:t>表</w:t>
      </w:r>
      <w:r>
        <w:rPr>
          <w:rFonts w:eastAsia="標楷體"/>
          <w:b/>
          <w:bCs/>
        </w:rPr>
        <w:t xml:space="preserve">1. </w:t>
      </w:r>
      <w:r>
        <w:rPr>
          <w:rFonts w:eastAsia="標楷體"/>
          <w:b/>
          <w:bCs/>
        </w:rPr>
        <w:t>端側</w:t>
      </w:r>
      <w:r>
        <w:rPr>
          <w:rFonts w:eastAsia="標楷體"/>
          <w:b/>
          <w:bCs/>
        </w:rPr>
        <w:t>RAG</w:t>
      </w:r>
      <w:r>
        <w:rPr>
          <w:rFonts w:eastAsia="標楷體"/>
          <w:b/>
          <w:bCs/>
        </w:rPr>
        <w:t>五階段累加消融結果（</w:t>
      </w:r>
      <w:r>
        <w:rPr>
          <w:rFonts w:eastAsia="標楷體"/>
          <w:b/>
          <w:bCs/>
        </w:rPr>
        <w:t>Galaxy A33</w:t>
      </w:r>
      <w:r>
        <w:rPr>
          <w:rFonts w:eastAsia="標楷體"/>
          <w:b/>
          <w:bCs/>
        </w:rPr>
        <w:t>，</w:t>
      </w:r>
      <w:r>
        <w:rPr>
          <w:rFonts w:eastAsia="標楷體"/>
          <w:b/>
          <w:bCs/>
        </w:rPr>
        <w:t>40</w:t>
      </w:r>
      <w:r>
        <w:rPr>
          <w:rFonts w:eastAsia="標楷體"/>
          <w:b/>
          <w:bCs/>
        </w:rPr>
        <w:t>題；總耗時單位為秒，其餘為</w:t>
      </w:r>
      <w:r>
        <w:rPr>
          <w:rFonts w:eastAsia="標楷體"/>
          <w:b/>
          <w:bCs/>
        </w:rPr>
        <w:t>%</w:t>
      </w:r>
      <w:r>
        <w:rPr>
          <w:rFonts w:eastAsia="標楷體"/>
          <w:b/>
          <w:bCs/>
        </w:rPr>
        <w:t>）</w:t>
      </w:r>
    </w:p>
    <w:p w14:paraId="538DF8AD" w14:textId="77777777" w:rsidR="0095653D" w:rsidRDefault="00721AAD">
      <w:pPr>
        <w:pStyle w:val="ac"/>
      </w:pPr>
      <w:r>
        <w:rPr>
          <w:rFonts w:ascii="Times New Roman" w:eastAsia="標楷體" w:cs="Times New Roman"/>
        </w:rPr>
        <w:t>監督式微調使</w:t>
      </w:r>
      <w:r>
        <w:rPr>
          <w:rFonts w:ascii="Times New Roman" w:eastAsia="標楷體" w:cs="Times New Roman"/>
        </w:rPr>
        <w:t>Faithfulness</w:t>
      </w:r>
      <w:r>
        <w:rPr>
          <w:rFonts w:ascii="Times New Roman" w:eastAsia="標楷體" w:cs="Times New Roman"/>
        </w:rPr>
        <w:t>由</w:t>
      </w:r>
      <w:r>
        <w:rPr>
          <w:rFonts w:ascii="Times New Roman" w:eastAsia="標楷體" w:cs="Times New Roman"/>
        </w:rPr>
        <w:t>82.64%</w:t>
      </w:r>
      <w:r>
        <w:rPr>
          <w:rFonts w:ascii="Times New Roman" w:eastAsia="標楷體" w:cs="Times New Roman"/>
        </w:rPr>
        <w:t>升至</w:t>
      </w:r>
      <w:r>
        <w:rPr>
          <w:rFonts w:ascii="Times New Roman" w:eastAsia="標楷體" w:cs="Times New Roman"/>
        </w:rPr>
        <w:t>87.04%</w:t>
      </w:r>
      <w:r>
        <w:rPr>
          <w:rFonts w:ascii="Times New Roman" w:eastAsia="標楷體" w:cs="Times New Roman"/>
        </w:rPr>
        <w:t>，淨增益</w:t>
      </w:r>
      <w:r>
        <w:rPr>
          <w:rFonts w:ascii="Times New Roman" w:eastAsia="標楷體" w:cs="Times New Roman"/>
        </w:rPr>
        <w:t>4.40</w:t>
      </w:r>
      <w:r>
        <w:rPr>
          <w:rFonts w:ascii="Times New Roman" w:eastAsia="標楷體" w:cs="Times New Roman"/>
        </w:rPr>
        <w:t>個百分點，</w:t>
      </w:r>
      <w:r>
        <w:rPr>
          <w:rFonts w:ascii="Times New Roman" w:eastAsia="標楷體" w:cs="Times New Roman"/>
        </w:rPr>
        <w:t>PREP</w:t>
      </w:r>
      <w:r>
        <w:rPr>
          <w:rFonts w:ascii="Times New Roman" w:eastAsia="標楷體" w:cs="Times New Roman"/>
        </w:rPr>
        <w:t>結構遵從率</w:t>
      </w:r>
      <w:r>
        <w:rPr>
          <w:rFonts w:ascii="Times New Roman" w:eastAsia="標楷體" w:cs="Times New Roman"/>
        </w:rPr>
        <w:lastRenderedPageBreak/>
        <w:t>由</w:t>
      </w:r>
      <w:r>
        <w:rPr>
          <w:rFonts w:ascii="Times New Roman" w:eastAsia="標楷體" w:cs="Times New Roman"/>
        </w:rPr>
        <w:t>15.00%</w:t>
      </w:r>
      <w:r>
        <w:rPr>
          <w:rFonts w:ascii="Times New Roman" w:eastAsia="標楷體" w:cs="Times New Roman"/>
        </w:rPr>
        <w:t>升至</w:t>
      </w:r>
      <w:r>
        <w:rPr>
          <w:rFonts w:ascii="Times New Roman" w:eastAsia="標楷體" w:cs="Times New Roman"/>
        </w:rPr>
        <w:t>22.50%</w:t>
      </w:r>
      <w:r>
        <w:rPr>
          <w:rFonts w:ascii="Times New Roman" w:eastAsia="標楷體" w:cs="Times New Roman"/>
        </w:rPr>
        <w:t>；輸出由</w:t>
      </w:r>
      <w:r>
        <w:rPr>
          <w:rFonts w:ascii="Times New Roman" w:eastAsia="標楷體" w:cs="Times New Roman"/>
        </w:rPr>
        <w:t>90.0</w:t>
      </w:r>
      <w:r>
        <w:rPr>
          <w:rFonts w:ascii="Times New Roman" w:eastAsia="標楷體" w:cs="Times New Roman"/>
        </w:rPr>
        <w:t>增為</w:t>
      </w:r>
      <w:r>
        <w:rPr>
          <w:rFonts w:ascii="Times New Roman" w:eastAsia="標楷體" w:cs="Times New Roman"/>
        </w:rPr>
        <w:t>163.2 tokens</w:t>
      </w:r>
      <w:r>
        <w:rPr>
          <w:rFonts w:ascii="Times New Roman" w:eastAsia="標楷體" w:cs="Times New Roman"/>
        </w:rPr>
        <w:t>，總耗時隨之增加，解碼速率則由</w:t>
      </w:r>
      <w:r>
        <w:rPr>
          <w:rFonts w:ascii="Times New Roman" w:eastAsia="標楷體" w:cs="Times New Roman"/>
        </w:rPr>
        <w:t>9.66</w:t>
      </w:r>
      <w:r>
        <w:rPr>
          <w:rFonts w:ascii="Times New Roman" w:eastAsia="標楷體" w:cs="Times New Roman"/>
        </w:rPr>
        <w:t>降為</w:t>
      </w:r>
      <w:r>
        <w:rPr>
          <w:rFonts w:ascii="Times New Roman" w:eastAsia="標楷體" w:cs="Times New Roman"/>
        </w:rPr>
        <w:t>9.40 tok/s</w:t>
      </w:r>
      <w:r>
        <w:rPr>
          <w:rFonts w:ascii="Times New Roman" w:eastAsia="標楷體" w:cs="Times New Roman"/>
        </w:rPr>
        <w:t>，表示微調主要改善證據依從與處方完整度，而非原生解碼能力。但微調也使模型把跨作物與非農業問題套入柑橘知識作答，無護欄時防禦率由</w:t>
      </w:r>
      <w:r>
        <w:rPr>
          <w:rFonts w:ascii="Times New Roman" w:eastAsia="標楷體" w:cs="Times New Roman"/>
        </w:rPr>
        <w:t>50%</w:t>
      </w:r>
      <w:r>
        <w:rPr>
          <w:rFonts w:ascii="Times New Roman" w:eastAsia="標楷體" w:cs="Times New Roman"/>
        </w:rPr>
        <w:t>降為</w:t>
      </w:r>
      <w:r>
        <w:rPr>
          <w:rFonts w:ascii="Times New Roman" w:eastAsia="標楷體" w:cs="Times New Roman"/>
        </w:rPr>
        <w:t>0%</w:t>
      </w:r>
      <w:r>
        <w:rPr>
          <w:rFonts w:ascii="Times New Roman" w:eastAsia="標楷體" w:cs="Times New Roman"/>
        </w:rPr>
        <w:t>，加入護欄後達</w:t>
      </w:r>
      <w:r>
        <w:rPr>
          <w:rFonts w:ascii="Times New Roman" w:eastAsia="標楷體" w:cs="Times New Roman"/>
        </w:rPr>
        <w:t>100%</w:t>
      </w:r>
      <w:r>
        <w:rPr>
          <w:rFonts w:ascii="Times New Roman" w:eastAsia="標楷體" w:cs="Times New Roman"/>
        </w:rPr>
        <w:t>。階段</w:t>
      </w:r>
      <w:r>
        <w:rPr>
          <w:rFonts w:ascii="Times New Roman" w:eastAsia="標楷體" w:cs="Times New Roman"/>
        </w:rPr>
        <w:t>5</w:t>
      </w:r>
      <w:r>
        <w:rPr>
          <w:rFonts w:ascii="Times New Roman" w:eastAsia="標楷體" w:cs="Times New Roman"/>
        </w:rPr>
        <w:t>的</w:t>
      </w:r>
      <w:r>
        <w:rPr>
          <w:rFonts w:ascii="Times New Roman" w:eastAsia="標楷體" w:cs="Times New Roman"/>
        </w:rPr>
        <w:t>Faithfulness</w:t>
      </w:r>
      <w:r>
        <w:rPr>
          <w:rFonts w:ascii="Times New Roman" w:eastAsia="標楷體" w:cs="Times New Roman"/>
        </w:rPr>
        <w:t>較階段</w:t>
      </w:r>
      <w:r>
        <w:rPr>
          <w:rFonts w:ascii="Times New Roman" w:eastAsia="標楷體" w:cs="Times New Roman"/>
        </w:rPr>
        <w:t>4</w:t>
      </w:r>
      <w:r>
        <w:rPr>
          <w:rFonts w:ascii="Times New Roman" w:eastAsia="標楷體" w:cs="Times New Roman"/>
        </w:rPr>
        <w:t>低</w:t>
      </w:r>
      <w:r>
        <w:rPr>
          <w:rFonts w:ascii="Times New Roman" w:eastAsia="標楷體" w:cs="Times New Roman"/>
        </w:rPr>
        <w:t>1.99</w:t>
      </w:r>
      <w:r>
        <w:rPr>
          <w:rFonts w:ascii="Times New Roman" w:eastAsia="標楷體" w:cs="Times New Roman"/>
        </w:rPr>
        <w:t>個百分點，因各階段只實測一次，尚不足以解讀為護欄降低忠實度。</w:t>
      </w:r>
    </w:p>
    <w:p w14:paraId="0889F312" w14:textId="77777777" w:rsidR="0095653D" w:rsidRDefault="00721AAD">
      <w:pPr>
        <w:pStyle w:val="2"/>
      </w:pPr>
      <w:r>
        <w:t>行動端效能與限制</w:t>
      </w:r>
    </w:p>
    <w:p w14:paraId="2F3EB46F" w14:textId="77777777" w:rsidR="0095653D" w:rsidRDefault="00721AAD">
      <w:pPr>
        <w:pStyle w:val="ac"/>
      </w:pPr>
      <w:r>
        <w:rPr>
          <w:rFonts w:ascii="Times New Roman" w:eastAsia="標楷體" w:cs="Times New Roman"/>
        </w:rPr>
        <w:t>Galaxy A33</w:t>
      </w:r>
      <w:r>
        <w:rPr>
          <w:rFonts w:ascii="Times New Roman" w:eastAsia="標楷體" w:cs="Times New Roman"/>
        </w:rPr>
        <w:t>以</w:t>
      </w:r>
      <w:r>
        <w:rPr>
          <w:rFonts w:ascii="Times New Roman" w:eastAsia="標楷體" w:cs="Times New Roman"/>
        </w:rPr>
        <w:t>4</w:t>
      </w:r>
      <w:r>
        <w:rPr>
          <w:rFonts w:ascii="Times New Roman" w:eastAsia="標楷體" w:cs="Times New Roman"/>
        </w:rPr>
        <w:t>執行緒執行</w:t>
      </w:r>
      <w:r>
        <w:rPr>
          <w:rFonts w:ascii="Times New Roman" w:eastAsia="標楷體" w:cs="Times New Roman"/>
        </w:rPr>
        <w:t>40</w:t>
      </w:r>
      <w:r>
        <w:rPr>
          <w:rFonts w:ascii="Times New Roman" w:eastAsia="標楷體" w:cs="Times New Roman"/>
        </w:rPr>
        <w:t>題評估時，平均</w:t>
      </w:r>
      <w:r>
        <w:rPr>
          <w:rFonts w:ascii="Times New Roman" w:eastAsia="標楷體" w:cs="Times New Roman"/>
        </w:rPr>
        <w:t>TTFT</w:t>
      </w:r>
      <w:r>
        <w:rPr>
          <w:rFonts w:ascii="Times New Roman" w:eastAsia="標楷體" w:cs="Times New Roman"/>
        </w:rPr>
        <w:t>為</w:t>
      </w:r>
      <w:r>
        <w:rPr>
          <w:rFonts w:ascii="Times New Roman" w:eastAsia="標楷體" w:cs="Times New Roman"/>
        </w:rPr>
        <w:t>13.75 s</w:t>
      </w:r>
      <w:r>
        <w:rPr>
          <w:rFonts w:ascii="Times New Roman" w:eastAsia="標楷體" w:cs="Times New Roman"/>
        </w:rPr>
        <w:t>、解碼速率為</w:t>
      </w:r>
      <w:r>
        <w:rPr>
          <w:rFonts w:ascii="Times New Roman" w:eastAsia="標楷體" w:cs="Times New Roman"/>
        </w:rPr>
        <w:t>9.56 tok/s</w:t>
      </w:r>
      <w:r>
        <w:rPr>
          <w:rFonts w:ascii="Times New Roman" w:eastAsia="標楷體" w:cs="Times New Roman"/>
        </w:rPr>
        <w:t>、單題總耗時為</w:t>
      </w:r>
      <w:r>
        <w:rPr>
          <w:rFonts w:ascii="Times New Roman" w:eastAsia="標楷體" w:cs="Times New Roman"/>
        </w:rPr>
        <w:t>29.98 s</w:t>
      </w:r>
      <w:r>
        <w:rPr>
          <w:rFonts w:ascii="Times New Roman" w:eastAsia="標楷體" w:cs="Times New Roman"/>
        </w:rPr>
        <w:t>。早期原型的純</w:t>
      </w:r>
      <w:r>
        <w:rPr>
          <w:rFonts w:ascii="Times New Roman" w:eastAsia="標楷體" w:cs="Times New Roman"/>
        </w:rPr>
        <w:t>SLM</w:t>
      </w:r>
      <w:r>
        <w:rPr>
          <w:rFonts w:ascii="Times New Roman" w:eastAsia="標楷體" w:cs="Times New Roman"/>
        </w:rPr>
        <w:t>測試中，</w:t>
      </w:r>
      <w:r>
        <w:rPr>
          <w:rFonts w:ascii="Times New Roman" w:eastAsia="標楷體" w:cs="Times New Roman"/>
        </w:rPr>
        <w:t>6</w:t>
      </w:r>
      <w:r>
        <w:rPr>
          <w:rFonts w:ascii="Times New Roman" w:eastAsia="標楷體" w:cs="Times New Roman"/>
        </w:rPr>
        <w:t>執行緒可使</w:t>
      </w:r>
      <w:r>
        <w:rPr>
          <w:rFonts w:ascii="Times New Roman" w:eastAsia="標楷體" w:cs="Times New Roman"/>
        </w:rPr>
        <w:t>TTFT</w:t>
      </w:r>
      <w:r>
        <w:rPr>
          <w:rFonts w:ascii="Times New Roman" w:eastAsia="標楷體" w:cs="Times New Roman"/>
        </w:rPr>
        <w:t>由</w:t>
      </w:r>
      <w:r>
        <w:rPr>
          <w:rFonts w:ascii="Times New Roman" w:eastAsia="標楷體" w:cs="Times New Roman"/>
        </w:rPr>
        <w:t>2,613.1 ms</w:t>
      </w:r>
      <w:r>
        <w:rPr>
          <w:rFonts w:ascii="Times New Roman" w:eastAsia="標楷體" w:cs="Times New Roman"/>
        </w:rPr>
        <w:t>降至</w:t>
      </w:r>
      <w:r>
        <w:rPr>
          <w:rFonts w:ascii="Times New Roman" w:eastAsia="標楷體" w:cs="Times New Roman"/>
        </w:rPr>
        <w:t>2,110.3 ms</w:t>
      </w:r>
      <w:r>
        <w:rPr>
          <w:rFonts w:ascii="Times New Roman" w:eastAsia="標楷體" w:cs="Times New Roman"/>
        </w:rPr>
        <w:t>、解碼速率由</w:t>
      </w:r>
      <w:r>
        <w:rPr>
          <w:rFonts w:ascii="Times New Roman" w:eastAsia="標楷體" w:cs="Times New Roman"/>
        </w:rPr>
        <w:t>10.40</w:t>
      </w:r>
      <w:r>
        <w:rPr>
          <w:rFonts w:ascii="Times New Roman" w:eastAsia="標楷體" w:cs="Times New Roman"/>
        </w:rPr>
        <w:t>升至</w:t>
      </w:r>
      <w:r>
        <w:rPr>
          <w:rFonts w:ascii="Times New Roman" w:eastAsia="標楷體" w:cs="Times New Roman"/>
        </w:rPr>
        <w:t>13.70 tok/s</w:t>
      </w:r>
      <w:r>
        <w:rPr>
          <w:rFonts w:ascii="Times New Roman" w:eastAsia="標楷體" w:cs="Times New Roman"/>
        </w:rPr>
        <w:t>，但交付版本為兼顧節能與溫控仍採</w:t>
      </w:r>
      <w:r>
        <w:rPr>
          <w:rFonts w:ascii="Times New Roman" w:eastAsia="標楷體" w:cs="Times New Roman"/>
        </w:rPr>
        <w:t>4</w:t>
      </w:r>
      <w:r>
        <w:rPr>
          <w:rFonts w:ascii="Times New Roman" w:eastAsia="標楷體" w:cs="Times New Roman"/>
        </w:rPr>
        <w:t>執行緒。持續影像推論在</w:t>
      </w:r>
      <w:r>
        <w:rPr>
          <w:rFonts w:ascii="Times New Roman" w:eastAsia="標楷體" w:cs="Times New Roman"/>
        </w:rPr>
        <w:t>Dimensity 8300</w:t>
      </w:r>
      <w:r>
        <w:rPr>
          <w:rFonts w:ascii="Times New Roman" w:eastAsia="標楷體" w:cs="Times New Roman"/>
        </w:rPr>
        <w:t>以</w:t>
      </w:r>
      <w:r>
        <w:rPr>
          <w:rFonts w:ascii="Times New Roman" w:eastAsia="標楷體" w:cs="Times New Roman"/>
        </w:rPr>
        <w:t>320</w:t>
      </w:r>
      <w:r>
        <w:rPr>
          <w:rFonts w:ascii="Times New Roman" w:eastAsia="標楷體" w:cs="Times New Roman"/>
        </w:rPr>
        <w:t>像素達</w:t>
      </w:r>
      <w:r>
        <w:rPr>
          <w:rFonts w:ascii="Times New Roman" w:eastAsia="標楷體" w:cs="Times New Roman"/>
        </w:rPr>
        <w:t>38.4 FPS</w:t>
      </w:r>
      <w:r>
        <w:rPr>
          <w:rFonts w:ascii="Times New Roman" w:eastAsia="標楷體" w:cs="Times New Roman"/>
        </w:rPr>
        <w:t>，在</w:t>
      </w:r>
      <w:r>
        <w:rPr>
          <w:rFonts w:ascii="Times New Roman" w:eastAsia="標楷體" w:cs="Times New Roman"/>
        </w:rPr>
        <w:t>Snapdragon 8 Gen 2</w:t>
      </w:r>
      <w:r>
        <w:rPr>
          <w:rFonts w:ascii="Times New Roman" w:eastAsia="標楷體" w:cs="Times New Roman"/>
        </w:rPr>
        <w:t>達</w:t>
      </w:r>
      <w:r>
        <w:rPr>
          <w:rFonts w:ascii="Times New Roman" w:eastAsia="標楷體" w:cs="Times New Roman"/>
        </w:rPr>
        <w:t>29.8 FPS</w:t>
      </w:r>
      <w:r>
        <w:rPr>
          <w:rFonts w:ascii="Times New Roman" w:eastAsia="標楷體" w:cs="Times New Roman"/>
        </w:rPr>
        <w:t>，</w:t>
      </w:r>
      <w:r>
        <w:rPr>
          <w:rFonts w:ascii="Times New Roman" w:eastAsia="標楷體" w:cs="Times New Roman"/>
        </w:rPr>
        <w:t>Snapdragon 662</w:t>
      </w:r>
      <w:r>
        <w:rPr>
          <w:rFonts w:ascii="Times New Roman" w:eastAsia="標楷體" w:cs="Times New Roman"/>
        </w:rPr>
        <w:t>未通過精度與延遲雙重門檻；這些量測使用架構相同的前一版權重，延遲可沿用，精度需以交付權重重評。故目前採拍照後辨識，即時串流列為未來功能。</w:t>
      </w:r>
    </w:p>
    <w:p w14:paraId="139CD753" w14:textId="77777777" w:rsidR="0095653D" w:rsidRDefault="00721AAD">
      <w:pPr>
        <w:pStyle w:val="ac"/>
      </w:pPr>
      <w:r>
        <w:rPr>
          <w:rFonts w:ascii="Times New Roman" w:eastAsia="標楷體" w:cs="Times New Roman"/>
        </w:rPr>
        <w:t>限制包括：偵測實驗各僅一個</w:t>
      </w:r>
      <w:r>
        <w:rPr>
          <w:rFonts w:ascii="Times New Roman" w:eastAsia="標楷體" w:cs="Times New Roman"/>
        </w:rPr>
        <w:t>random seed</w:t>
      </w:r>
      <w:r>
        <w:rPr>
          <w:rFonts w:ascii="Times New Roman" w:eastAsia="標楷體" w:cs="Times New Roman"/>
        </w:rPr>
        <w:t>、標註一致性研究僅</w:t>
      </w:r>
      <w:r>
        <w:rPr>
          <w:rFonts w:ascii="Times New Roman" w:eastAsia="標楷體" w:cs="Times New Roman"/>
        </w:rPr>
        <w:t>20</w:t>
      </w:r>
      <w:r>
        <w:rPr>
          <w:rFonts w:ascii="Times New Roman" w:eastAsia="標楷體" w:cs="Times New Roman"/>
        </w:rPr>
        <w:t>張影像、</w:t>
      </w:r>
      <w:r>
        <w:rPr>
          <w:rFonts w:ascii="Times New Roman" w:eastAsia="標楷體" w:cs="Times New Roman"/>
        </w:rPr>
        <w:t>RAG</w:t>
      </w:r>
      <w:r>
        <w:rPr>
          <w:rFonts w:ascii="Times New Roman" w:eastAsia="標楷體" w:cs="Times New Roman"/>
        </w:rPr>
        <w:t>消融各階段僅在單一手機實測一次、偵測與問答模組尚未整合評估，以及化學處置文字待專家與正式用藥標示核對。</w:t>
      </w:r>
    </w:p>
    <w:p w14:paraId="02FD4C32" w14:textId="77777777" w:rsidR="0095653D" w:rsidRDefault="00721AAD">
      <w:pPr>
        <w:pStyle w:val="2"/>
      </w:pPr>
      <w:r>
        <w:t>類別級結果與資料品質</w:t>
      </w:r>
    </w:p>
    <w:p w14:paraId="4A60C0C0" w14:textId="77777777" w:rsidR="0095653D" w:rsidRDefault="00721AAD">
      <w:pPr>
        <w:pStyle w:val="ac"/>
      </w:pPr>
      <w:r>
        <w:rPr>
          <w:rFonts w:ascii="Times New Roman" w:eastAsia="標楷體" w:cs="Times New Roman"/>
        </w:rPr>
        <w:t>為免</w:t>
      </w:r>
      <w:r>
        <w:rPr>
          <w:rFonts w:ascii="Times New Roman" w:eastAsia="標楷體" w:cs="Times New Roman"/>
        </w:rPr>
        <w:t>aggregate mAP</w:t>
      </w:r>
      <w:r>
        <w:rPr>
          <w:rFonts w:ascii="Times New Roman" w:eastAsia="標楷體" w:cs="Times New Roman"/>
        </w:rPr>
        <w:t>掩蓋類別差異，本研究回報九類</w:t>
      </w:r>
      <w:r>
        <w:rPr>
          <w:rFonts w:ascii="Times New Roman" w:eastAsia="標楷體" w:cs="Times New Roman"/>
        </w:rPr>
        <w:t>pooled AP50</w:t>
      </w:r>
      <w:r>
        <w:rPr>
          <w:rFonts w:ascii="Times New Roman" w:eastAsia="標楷體" w:cs="Times New Roman"/>
        </w:rPr>
        <w:t>。視覺特徵較集中的</w:t>
      </w:r>
      <w:r>
        <w:rPr>
          <w:rFonts w:ascii="Times New Roman" w:eastAsia="標楷體" w:cs="Times New Roman"/>
        </w:rPr>
        <w:t>Sooty_Mold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Black_Spot</w:t>
      </w:r>
      <w:r>
        <w:rPr>
          <w:rFonts w:ascii="Times New Roman" w:eastAsia="標楷體" w:cs="Times New Roman"/>
        </w:rPr>
        <w:t>與</w:t>
      </w:r>
      <w:r>
        <w:rPr>
          <w:rFonts w:ascii="Times New Roman" w:eastAsia="標楷體" w:cs="Times New Roman"/>
        </w:rPr>
        <w:t>Oily_Spot</w:t>
      </w:r>
      <w:r>
        <w:rPr>
          <w:rFonts w:ascii="Times New Roman" w:eastAsia="標楷體" w:cs="Times New Roman"/>
        </w:rPr>
        <w:t>分別達</w:t>
      </w:r>
      <w:r>
        <w:rPr>
          <w:rFonts w:ascii="Times New Roman" w:eastAsia="標楷體" w:cs="Times New Roman"/>
        </w:rPr>
        <w:t>0.9950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0.9528</w:t>
      </w:r>
      <w:r>
        <w:rPr>
          <w:rFonts w:ascii="Times New Roman" w:eastAsia="標楷體" w:cs="Times New Roman"/>
        </w:rPr>
        <w:t>與</w:t>
      </w:r>
      <w:r>
        <w:rPr>
          <w:rFonts w:ascii="Times New Roman" w:eastAsia="標楷體" w:cs="Times New Roman"/>
        </w:rPr>
        <w:t>0.9482</w:t>
      </w:r>
      <w:r>
        <w:rPr>
          <w:rFonts w:ascii="Times New Roman" w:eastAsia="標楷體" w:cs="Times New Roman"/>
        </w:rPr>
        <w:t>，</w:t>
      </w:r>
      <w:r>
        <w:rPr>
          <w:rFonts w:ascii="Times New Roman" w:eastAsia="標楷體" w:cs="Times New Roman"/>
        </w:rPr>
        <w:t>Aphid</w:t>
      </w:r>
      <w:r>
        <w:rPr>
          <w:rFonts w:ascii="Times New Roman" w:eastAsia="標楷體" w:cs="Times New Roman"/>
        </w:rPr>
        <w:t>與</w:t>
      </w:r>
      <w:r>
        <w:rPr>
          <w:rFonts w:ascii="Times New Roman" w:eastAsia="標楷體" w:cs="Times New Roman"/>
        </w:rPr>
        <w:t>Canker</w:t>
      </w:r>
      <w:r>
        <w:rPr>
          <w:rFonts w:ascii="Times New Roman" w:eastAsia="標楷體" w:cs="Times New Roman"/>
        </w:rPr>
        <w:t>為</w:t>
      </w:r>
      <w:r>
        <w:rPr>
          <w:rFonts w:ascii="Times New Roman" w:eastAsia="標楷體" w:cs="Times New Roman"/>
        </w:rPr>
        <w:t>0.9297</w:t>
      </w:r>
      <w:r>
        <w:rPr>
          <w:rFonts w:ascii="Times New Roman" w:eastAsia="標楷體" w:cs="Times New Roman"/>
        </w:rPr>
        <w:t>與</w:t>
      </w:r>
      <w:r>
        <w:rPr>
          <w:rFonts w:ascii="Times New Roman" w:eastAsia="標楷體" w:cs="Times New Roman"/>
        </w:rPr>
        <w:t>0.9045</w:t>
      </w:r>
      <w:r>
        <w:rPr>
          <w:rFonts w:ascii="Times New Roman" w:eastAsia="標楷體" w:cs="Times New Roman"/>
        </w:rPr>
        <w:t>；</w:t>
      </w:r>
      <w:r>
        <w:rPr>
          <w:rFonts w:ascii="Times New Roman" w:eastAsia="標楷體" w:cs="Times New Roman"/>
        </w:rPr>
        <w:t>Thrips_Damage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Citrus_Leaf_Miner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Thrips</w:t>
      </w:r>
      <w:r>
        <w:rPr>
          <w:rFonts w:ascii="Times New Roman" w:eastAsia="標楷體" w:cs="Times New Roman"/>
        </w:rPr>
        <w:t>與</w:t>
      </w:r>
      <w:r>
        <w:rPr>
          <w:rFonts w:ascii="Times New Roman" w:eastAsia="標楷體" w:cs="Times New Roman"/>
        </w:rPr>
        <w:t>Scale_Insect</w:t>
      </w:r>
      <w:r>
        <w:rPr>
          <w:rFonts w:ascii="Times New Roman" w:eastAsia="標楷體" w:cs="Times New Roman"/>
        </w:rPr>
        <w:t>分別為</w:t>
      </w:r>
      <w:r>
        <w:rPr>
          <w:rFonts w:ascii="Times New Roman" w:eastAsia="標楷體" w:cs="Times New Roman"/>
        </w:rPr>
        <w:t>0.7848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0.7403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0.7040</w:t>
      </w:r>
      <w:r>
        <w:rPr>
          <w:rFonts w:ascii="Times New Roman" w:eastAsia="標楷體" w:cs="Times New Roman"/>
        </w:rPr>
        <w:t>與</w:t>
      </w:r>
      <w:r>
        <w:rPr>
          <w:rFonts w:ascii="Times New Roman" w:eastAsia="標楷體" w:cs="Times New Roman"/>
        </w:rPr>
        <w:t>0.6321</w:t>
      </w:r>
      <w:r>
        <w:rPr>
          <w:rFonts w:ascii="Times New Roman" w:eastAsia="標楷體" w:cs="Times New Roman"/>
        </w:rPr>
        <w:t>。後四類有小目標、遮蔽、形態變異或背景相似等問題，後續應優先補充不同生長期與拍攝距離的樣本。</w:t>
      </w:r>
    </w:p>
    <w:p w14:paraId="7CCF747E" w14:textId="77777777" w:rsidR="0095653D" w:rsidRDefault="00721AAD">
      <w:pPr>
        <w:pStyle w:val="ac"/>
      </w:pPr>
      <w:r>
        <w:rPr>
          <w:rFonts w:ascii="Times New Roman" w:eastAsia="標楷體" w:cs="Times New Roman"/>
        </w:rPr>
        <w:t>資料驗收包含影像與標註配對、類別編號、座標界限、資料洩漏、近重複跨</w:t>
      </w:r>
      <w:r>
        <w:rPr>
          <w:rFonts w:ascii="Times New Roman" w:eastAsia="標楷體" w:cs="Times New Roman"/>
        </w:rPr>
        <w:t>split</w:t>
      </w:r>
      <w:r>
        <w:rPr>
          <w:rFonts w:ascii="Times New Roman" w:eastAsia="標楷體" w:cs="Times New Roman"/>
        </w:rPr>
        <w:t>、增強框面積比例與評估集絕對數量。九類</w:t>
      </w:r>
      <w:r>
        <w:rPr>
          <w:rFonts w:ascii="Times New Roman" w:eastAsia="標楷體" w:cs="Times New Roman"/>
        </w:rPr>
        <w:t>pooled</w:t>
      </w:r>
      <w:r>
        <w:rPr>
          <w:rFonts w:ascii="Times New Roman" w:eastAsia="標楷體" w:cs="Times New Roman"/>
        </w:rPr>
        <w:t>的</w:t>
      </w:r>
      <w:r>
        <w:rPr>
          <w:rFonts w:ascii="Times New Roman" w:eastAsia="標楷體" w:cs="Times New Roman"/>
        </w:rPr>
        <w:t>two-standard-error</w:t>
      </w:r>
      <w:r>
        <w:rPr>
          <w:rFonts w:ascii="Times New Roman" w:eastAsia="標楷體" w:cs="Times New Roman"/>
        </w:rPr>
        <w:t>上界均不超過</w:t>
      </w:r>
      <w:r>
        <w:rPr>
          <w:rFonts w:ascii="Times New Roman" w:eastAsia="標楷體" w:cs="Times New Roman"/>
        </w:rPr>
        <w:t>0.10</w:t>
      </w:r>
      <w:r>
        <w:rPr>
          <w:rFonts w:ascii="Times New Roman" w:eastAsia="標楷體" w:cs="Times New Roman"/>
        </w:rPr>
        <w:t>，最大值為</w:t>
      </w:r>
      <w:r>
        <w:rPr>
          <w:rFonts w:ascii="Times New Roman" w:eastAsia="標楷體" w:cs="Times New Roman"/>
        </w:rPr>
        <w:t>Citrus_Leaf_Miner</w:t>
      </w:r>
      <w:r>
        <w:rPr>
          <w:rFonts w:ascii="Times New Roman" w:eastAsia="標楷體" w:cs="Times New Roman"/>
        </w:rPr>
        <w:t>的</w:t>
      </w:r>
      <w:r>
        <w:rPr>
          <w:rFonts w:ascii="Times New Roman" w:eastAsia="標楷體" w:cs="Times New Roman"/>
        </w:rPr>
        <w:t>0.099</w:t>
      </w:r>
      <w:r>
        <w:rPr>
          <w:rFonts w:ascii="Times New Roman" w:eastAsia="標楷體" w:cs="Times New Roman"/>
        </w:rPr>
        <w:t>。這些檢查不能取代多次訓練，但能協助評審區分資料品質問題與模型隨機波動。標註一致性由</w:t>
      </w:r>
      <w:r>
        <w:rPr>
          <w:rFonts w:ascii="Times New Roman" w:eastAsia="標楷體" w:cs="Times New Roman"/>
        </w:rPr>
        <w:t>0.746</w:t>
      </w:r>
      <w:r>
        <w:rPr>
          <w:rFonts w:ascii="Times New Roman" w:eastAsia="標楷體" w:cs="Times New Roman"/>
        </w:rPr>
        <w:t>升至</w:t>
      </w:r>
      <w:r>
        <w:rPr>
          <w:rFonts w:ascii="Times New Roman" w:eastAsia="標楷體" w:cs="Times New Roman"/>
        </w:rPr>
        <w:t>0.899</w:t>
      </w:r>
      <w:r>
        <w:rPr>
          <w:rFonts w:ascii="Times New Roman" w:eastAsia="標楷體" w:cs="Times New Roman"/>
        </w:rPr>
        <w:t>，也說明影像任務的評估單位須先由領域定義清楚；全類重標後的實際一致性則為</w:t>
      </w:r>
      <w:r>
        <w:rPr>
          <w:rFonts w:ascii="Times New Roman" w:eastAsia="標楷體" w:cs="Times New Roman"/>
        </w:rPr>
        <w:t>0.80</w:t>
      </w:r>
      <w:r>
        <w:rPr>
          <w:rFonts w:ascii="Times New Roman" w:eastAsia="標楷體" w:cs="Times New Roman"/>
        </w:rPr>
        <w:t>至</w:t>
      </w:r>
      <w:r>
        <w:rPr>
          <w:rFonts w:ascii="Times New Roman" w:eastAsia="標楷體" w:cs="Times New Roman"/>
        </w:rPr>
        <w:t>0.83</w:t>
      </w:r>
      <w:r>
        <w:rPr>
          <w:rFonts w:ascii="Times New Roman" w:eastAsia="標楷體" w:cs="Times New Roman"/>
        </w:rPr>
        <w:t>。</w:t>
      </w:r>
    </w:p>
    <w:p w14:paraId="3DB50873" w14:textId="77777777" w:rsidR="0095653D" w:rsidRDefault="00721AAD">
      <w:pPr>
        <w:pStyle w:val="2"/>
      </w:pPr>
      <w:r>
        <w:t>問答評估與錯誤分析</w:t>
      </w:r>
    </w:p>
    <w:p w14:paraId="6511F539" w14:textId="77777777" w:rsidR="0095653D" w:rsidRDefault="00721AAD">
      <w:pPr>
        <w:pStyle w:val="ac"/>
      </w:pPr>
      <w:r>
        <w:rPr>
          <w:rFonts w:ascii="Times New Roman" w:eastAsia="標楷體" w:cs="Times New Roman"/>
        </w:rPr>
        <w:t>Pilot</w:t>
      </w:r>
      <w:r>
        <w:rPr>
          <w:rFonts w:ascii="Times New Roman" w:eastAsia="標楷體" w:cs="Times New Roman"/>
        </w:rPr>
        <w:t>評估用於發現</w:t>
      </w:r>
      <w:r>
        <w:rPr>
          <w:rFonts w:ascii="Times New Roman" w:eastAsia="標楷體" w:cs="Times New Roman"/>
        </w:rPr>
        <w:t>prompt echoing</w:t>
      </w:r>
      <w:r>
        <w:rPr>
          <w:rFonts w:ascii="Times New Roman" w:eastAsia="標楷體" w:cs="Times New Roman"/>
        </w:rPr>
        <w:t>、偽造學名、跨作物幻覺與回答格式問題；</w:t>
      </w:r>
      <w:r>
        <w:rPr>
          <w:rFonts w:ascii="Times New Roman" w:eastAsia="標楷體" w:cs="Times New Roman"/>
        </w:rPr>
        <w:t>Full Benchmark</w:t>
      </w:r>
      <w:r>
        <w:rPr>
          <w:rFonts w:ascii="Times New Roman" w:eastAsia="標楷體" w:cs="Times New Roman"/>
        </w:rPr>
        <w:t>則以</w:t>
      </w:r>
      <w:r>
        <w:rPr>
          <w:rFonts w:ascii="Times New Roman" w:eastAsia="標楷體" w:cs="Times New Roman"/>
        </w:rPr>
        <w:t>36</w:t>
      </w:r>
      <w:r>
        <w:rPr>
          <w:rFonts w:ascii="Times New Roman" w:eastAsia="標楷體" w:cs="Times New Roman"/>
        </w:rPr>
        <w:t>題柑橘領域題及</w:t>
      </w:r>
      <w:r>
        <w:rPr>
          <w:rFonts w:ascii="Times New Roman" w:eastAsia="標楷體" w:cs="Times New Roman"/>
        </w:rPr>
        <w:t>4</w:t>
      </w:r>
      <w:r>
        <w:rPr>
          <w:rFonts w:ascii="Times New Roman" w:eastAsia="標楷體" w:cs="Times New Roman"/>
        </w:rPr>
        <w:t>題邊界題檢查正式系統。評分由手機以外的</w:t>
      </w:r>
      <w:r>
        <w:rPr>
          <w:rFonts w:ascii="Times New Roman" w:eastAsia="標楷體" w:cs="Times New Roman"/>
        </w:rPr>
        <w:t>Qwen2.5-7B-Instruct</w:t>
      </w:r>
      <w:r>
        <w:rPr>
          <w:rFonts w:ascii="Times New Roman" w:eastAsia="標楷體" w:cs="Times New Roman"/>
        </w:rPr>
        <w:t>以溫度</w:t>
      </w:r>
      <w:r>
        <w:rPr>
          <w:rFonts w:ascii="Times New Roman" w:eastAsia="標楷體" w:cs="Times New Roman"/>
        </w:rPr>
        <w:t>0</w:t>
      </w:r>
      <w:r>
        <w:rPr>
          <w:rFonts w:ascii="Times New Roman" w:eastAsia="標楷體" w:cs="Times New Roman"/>
        </w:rPr>
        <w:t>執行：先將答案拆為原子陳述，再依檢索內容判定是否受支持，切片未記載的藥劑、倍數或病徵皆視為不受支持</w:t>
      </w:r>
      <w:r>
        <w:rPr>
          <w:rFonts w:ascii="Times New Roman" w:eastAsia="標楷體" w:cs="Times New Roman"/>
        </w:rPr>
        <w:t>[3]</w:t>
      </w:r>
      <w:r>
        <w:rPr>
          <w:rFonts w:ascii="Times New Roman" w:eastAsia="標楷體" w:cs="Times New Roman"/>
        </w:rPr>
        <w:t>。</w:t>
      </w:r>
      <w:r>
        <w:rPr>
          <w:rFonts w:ascii="Times New Roman" w:eastAsia="標楷體" w:cs="Times New Roman"/>
        </w:rPr>
        <w:t>Faithfulness</w:t>
      </w:r>
      <w:r>
        <w:rPr>
          <w:rFonts w:ascii="Times New Roman" w:eastAsia="標楷體" w:cs="Times New Roman"/>
        </w:rPr>
        <w:t>為受支持陳述比例，</w:t>
      </w:r>
      <w:r>
        <w:rPr>
          <w:rFonts w:ascii="Times New Roman" w:eastAsia="標楷體" w:cs="Times New Roman"/>
        </w:rPr>
        <w:t>Context Precision</w:t>
      </w:r>
      <w:r>
        <w:rPr>
          <w:rFonts w:ascii="Times New Roman" w:eastAsia="標楷體" w:cs="Times New Roman"/>
        </w:rPr>
        <w:t>衡量第一順位切片是否相關，</w:t>
      </w:r>
      <w:r>
        <w:rPr>
          <w:rFonts w:ascii="Times New Roman" w:eastAsia="標楷體" w:cs="Times New Roman"/>
        </w:rPr>
        <w:t>Context Recall</w:t>
      </w:r>
      <w:r>
        <w:rPr>
          <w:rFonts w:ascii="Times New Roman" w:eastAsia="標楷體" w:cs="Times New Roman"/>
        </w:rPr>
        <w:t>衡量參考答案所需資訊是否被覆蓋；此設計比字串完全比對更適合結構化農業回答。</w:t>
      </w:r>
    </w:p>
    <w:p w14:paraId="7CF9768D" w14:textId="77777777" w:rsidR="0095653D" w:rsidRDefault="00721AAD">
      <w:pPr>
        <w:pStyle w:val="ac"/>
      </w:pPr>
      <w:r>
        <w:rPr>
          <w:rFonts w:ascii="Times New Roman" w:eastAsia="標楷體" w:cs="Times New Roman"/>
        </w:rPr>
        <w:t>錯誤分析顯示，偵測正確不代表診斷文字安全。病原、藥劑與作物名稱相似時，短</w:t>
      </w:r>
      <w:r>
        <w:rPr>
          <w:rFonts w:ascii="Times New Roman" w:eastAsia="標楷體" w:cs="Times New Roman"/>
        </w:rPr>
        <w:t>context</w:t>
      </w:r>
      <w:r>
        <w:rPr>
          <w:rFonts w:ascii="Times New Roman" w:eastAsia="標楷體" w:cs="Times New Roman"/>
        </w:rPr>
        <w:t>可能讓模型錯誤合併兩個實體；使用者只提供「葉子變黃」等低資訊問題時，模型也可能給出超出證據的處置建議。因此回答須同時顯示辨識結果、檢索依據與未驗證狀態，並保留人工覆核入口；化學用藥不可由模型自由推論，應轉介正式標籤或農業專家。</w:t>
      </w:r>
    </w:p>
    <w:p w14:paraId="0946002E" w14:textId="77777777" w:rsidR="0095653D" w:rsidRDefault="00721AAD">
      <w:pPr>
        <w:pStyle w:val="2"/>
      </w:pPr>
      <w:r>
        <w:t>端側處理流程與工程取捨</w:t>
      </w:r>
    </w:p>
    <w:p w14:paraId="5D81890D" w14:textId="77777777" w:rsidR="0095653D" w:rsidRDefault="00721AAD">
      <w:pPr>
        <w:pStyle w:val="ac"/>
      </w:pPr>
      <w:r>
        <w:rPr>
          <w:rFonts w:ascii="Times New Roman" w:eastAsia="標楷體" w:cs="Times New Roman"/>
        </w:rPr>
        <w:t>系統流程分為影像輸入、候選偵測、使用者追問、安全檢查、知識檢索與答案生成六步，影像及問答資料皆在手機內處理。知識庫（約</w:t>
      </w:r>
      <w:r>
        <w:rPr>
          <w:rFonts w:ascii="Times New Roman" w:eastAsia="標楷體" w:cs="Times New Roman"/>
        </w:rPr>
        <w:t>30 KB</w:t>
      </w:r>
      <w:r>
        <w:rPr>
          <w:rFonts w:ascii="Times New Roman" w:eastAsia="標楷體" w:cs="Times New Roman"/>
        </w:rPr>
        <w:t>）以</w:t>
      </w:r>
      <w:r>
        <w:rPr>
          <w:rFonts w:ascii="Times New Roman" w:eastAsia="標楷體" w:cs="Times New Roman"/>
        </w:rPr>
        <w:t>App</w:t>
      </w:r>
      <w:r>
        <w:rPr>
          <w:rFonts w:ascii="Times New Roman" w:eastAsia="標楷體" w:cs="Times New Roman"/>
        </w:rPr>
        <w:t>內建資產載入，</w:t>
      </w:r>
      <w:r>
        <w:rPr>
          <w:rFonts w:ascii="Times New Roman" w:eastAsia="標楷體" w:cs="Times New Roman"/>
        </w:rPr>
        <w:t>379 MB</w:t>
      </w:r>
      <w:r>
        <w:rPr>
          <w:rFonts w:ascii="Times New Roman" w:eastAsia="標楷體" w:cs="Times New Roman"/>
        </w:rPr>
        <w:t>的模型權重則置於應用程式沙盒並以</w:t>
      </w:r>
      <w:r>
        <w:rPr>
          <w:rFonts w:ascii="Times New Roman" w:eastAsia="標楷體" w:cs="Times New Roman"/>
        </w:rPr>
        <w:t>mmap</w:t>
      </w:r>
      <w:r>
        <w:rPr>
          <w:rFonts w:ascii="Times New Roman" w:eastAsia="標楷體" w:cs="Times New Roman"/>
        </w:rPr>
        <w:t>載入，以降低記憶體壓力。檢索平均約</w:t>
      </w:r>
      <w:r>
        <w:rPr>
          <w:rFonts w:ascii="Times New Roman" w:eastAsia="標楷體" w:cs="Times New Roman"/>
        </w:rPr>
        <w:t>10.18 ms</w:t>
      </w:r>
      <w:r>
        <w:rPr>
          <w:rFonts w:ascii="Times New Roman" w:eastAsia="標楷體" w:cs="Times New Roman"/>
        </w:rPr>
        <w:t>，僅占單題總耗時的</w:t>
      </w:r>
      <w:r>
        <w:rPr>
          <w:rFonts w:ascii="Times New Roman" w:eastAsia="標楷體" w:cs="Times New Roman"/>
        </w:rPr>
        <w:t>0.03%</w:t>
      </w:r>
      <w:r>
        <w:rPr>
          <w:rFonts w:ascii="Times New Roman" w:eastAsia="標楷體" w:cs="Times New Roman"/>
        </w:rPr>
        <w:t>，因此最佳化重點應放在模型載入、</w:t>
      </w:r>
      <w:r>
        <w:rPr>
          <w:rFonts w:ascii="Times New Roman" w:eastAsia="標楷體" w:cs="Times New Roman"/>
        </w:rPr>
        <w:t>prompt prefill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context</w:t>
      </w:r>
      <w:r>
        <w:rPr>
          <w:rFonts w:ascii="Times New Roman" w:eastAsia="標楷體" w:cs="Times New Roman"/>
        </w:rPr>
        <w:t>長度與答案快取。</w:t>
      </w:r>
    </w:p>
    <w:p w14:paraId="4D73953C" w14:textId="77777777" w:rsidR="0095653D" w:rsidRDefault="00721AAD">
      <w:pPr>
        <w:pStyle w:val="ac"/>
      </w:pPr>
      <w:r>
        <w:rPr>
          <w:rFonts w:ascii="Times New Roman" w:eastAsia="標楷體" w:cs="Times New Roman"/>
        </w:rPr>
        <w:t>在</w:t>
      </w:r>
      <w:r>
        <w:rPr>
          <w:rFonts w:ascii="Times New Roman" w:eastAsia="標楷體" w:cs="Times New Roman"/>
        </w:rPr>
        <w:t>Galaxy A33</w:t>
      </w:r>
      <w:r>
        <w:rPr>
          <w:rFonts w:ascii="Times New Roman" w:eastAsia="標楷體" w:cs="Times New Roman"/>
        </w:rPr>
        <w:t>上，</w:t>
      </w:r>
      <w:r>
        <w:rPr>
          <w:rFonts w:ascii="Times New Roman" w:eastAsia="標楷體" w:cs="Times New Roman"/>
        </w:rPr>
        <w:t>TTFT</w:t>
      </w:r>
      <w:r>
        <w:rPr>
          <w:rFonts w:ascii="Times New Roman" w:eastAsia="標楷體" w:cs="Times New Roman"/>
        </w:rPr>
        <w:t>約占單題總耗時的</w:t>
      </w:r>
      <w:r>
        <w:rPr>
          <w:rFonts w:ascii="Times New Roman" w:eastAsia="標楷體" w:cs="Times New Roman"/>
        </w:rPr>
        <w:t>46%</w:t>
      </w:r>
      <w:r>
        <w:rPr>
          <w:rFonts w:ascii="Times New Roman" w:eastAsia="標楷體" w:cs="Times New Roman"/>
        </w:rPr>
        <w:t>，</w:t>
      </w:r>
      <w:r>
        <w:rPr>
          <w:rFonts w:ascii="Times New Roman" w:eastAsia="標楷體" w:cs="Times New Roman"/>
        </w:rPr>
        <w:t>prompt prefill</w:t>
      </w:r>
      <w:r>
        <w:rPr>
          <w:rFonts w:ascii="Times New Roman" w:eastAsia="標楷體" w:cs="Times New Roman"/>
        </w:rPr>
        <w:t>是主要瓶頸；早期原型以</w:t>
      </w:r>
      <w:r>
        <w:rPr>
          <w:rFonts w:ascii="Times New Roman" w:eastAsia="標楷體" w:cs="Times New Roman"/>
        </w:rPr>
        <w:t>30</w:t>
      </w:r>
      <w:r>
        <w:rPr>
          <w:rFonts w:ascii="Times New Roman" w:eastAsia="標楷體" w:cs="Times New Roman"/>
        </w:rPr>
        <w:t>至</w:t>
      </w:r>
      <w:r>
        <w:rPr>
          <w:rFonts w:ascii="Times New Roman" w:eastAsia="標楷體" w:cs="Times New Roman"/>
        </w:rPr>
        <w:t>250</w:t>
      </w:r>
      <w:r>
        <w:rPr>
          <w:rFonts w:ascii="Times New Roman" w:eastAsia="標楷體" w:cs="Times New Roman"/>
        </w:rPr>
        <w:t>字短提示量測的</w:t>
      </w:r>
      <w:r>
        <w:rPr>
          <w:rFonts w:ascii="Times New Roman" w:eastAsia="標楷體" w:cs="Times New Roman"/>
        </w:rPr>
        <w:t>2,110.3 ms</w:t>
      </w:r>
      <w:r>
        <w:rPr>
          <w:rFonts w:ascii="Times New Roman" w:eastAsia="標楷體" w:cs="Times New Roman"/>
        </w:rPr>
        <w:t>屬於不同協定，兩者不可混為單一產品延遲。低階裝置較適合拍照後辨識而非持續串流；高階裝置也應以持續負載而非單次峰值</w:t>
      </w:r>
      <w:r>
        <w:rPr>
          <w:rFonts w:ascii="Times New Roman" w:eastAsia="標楷體" w:cs="Times New Roman"/>
        </w:rPr>
        <w:t>FPS</w:t>
      </w:r>
      <w:r>
        <w:rPr>
          <w:rFonts w:ascii="Times New Roman" w:eastAsia="標楷體" w:cs="Times New Roman"/>
        </w:rPr>
        <w:t>作為部署依據。</w:t>
      </w:r>
    </w:p>
    <w:p w14:paraId="6630ECA5" w14:textId="77777777" w:rsidR="0095653D" w:rsidRDefault="00721AAD">
      <w:pPr>
        <w:pStyle w:val="2"/>
      </w:pPr>
      <w:r>
        <w:lastRenderedPageBreak/>
        <w:t>實驗控制與結果解讀</w:t>
      </w:r>
    </w:p>
    <w:p w14:paraId="7DF36B93" w14:textId="77777777" w:rsidR="0095653D" w:rsidRDefault="00721AAD">
      <w:pPr>
        <w:pStyle w:val="ac"/>
      </w:pPr>
      <w:r>
        <w:rPr>
          <w:rFonts w:ascii="Times New Roman" w:eastAsia="標楷體" w:cs="Times New Roman"/>
        </w:rPr>
        <w:t>本研究將資料品質、模型能力與應用效能分開控制。偵測實驗固定資料切分與輸入尺寸，並同時報告九類與未變動八類結果，避免因單一類別的框定規則改變而誤判模型全面提升。外部影像實驗固定總訓練影像數，只改變部分影像的來源與背景，以判斷增益來自樣本數或域相似性；結果顯示白紙背景的</w:t>
      </w:r>
      <w:r>
        <w:rPr>
          <w:rFonts w:ascii="Times New Roman" w:eastAsia="標楷體" w:cs="Times New Roman"/>
        </w:rPr>
        <w:t>detached-leaf</w:t>
      </w:r>
      <w:r>
        <w:rPr>
          <w:rFonts w:ascii="Times New Roman" w:eastAsia="標楷體" w:cs="Times New Roman"/>
        </w:rPr>
        <w:t>影像不能直接替代果園影像。</w:t>
      </w:r>
    </w:p>
    <w:p w14:paraId="7E72ED58" w14:textId="77777777" w:rsidR="0095653D" w:rsidRDefault="00721AAD">
      <w:pPr>
        <w:pStyle w:val="ac"/>
      </w:pPr>
      <w:r>
        <w:rPr>
          <w:rFonts w:ascii="Times New Roman" w:eastAsia="標楷體" w:cs="Times New Roman"/>
        </w:rPr>
        <w:t>各偵測指標的定義也須區分：</w:t>
      </w:r>
      <w:r>
        <w:rPr>
          <w:rFonts w:ascii="Times New Roman" w:eastAsia="標楷體" w:cs="Times New Roman"/>
        </w:rPr>
        <w:t>mAP50</w:t>
      </w:r>
      <w:r>
        <w:rPr>
          <w:rFonts w:ascii="Times New Roman" w:eastAsia="標楷體" w:cs="Times New Roman"/>
        </w:rPr>
        <w:t>反映</w:t>
      </w:r>
      <w:r>
        <w:rPr>
          <w:rFonts w:ascii="Times New Roman" w:eastAsia="標楷體" w:cs="Times New Roman"/>
        </w:rPr>
        <w:t>IoU=0.5</w:t>
      </w:r>
      <w:r>
        <w:rPr>
          <w:rFonts w:ascii="Times New Roman" w:eastAsia="標楷體" w:cs="Times New Roman"/>
        </w:rPr>
        <w:t>下的類別平均精度，</w:t>
      </w:r>
      <w:r>
        <w:rPr>
          <w:rFonts w:ascii="Times New Roman" w:eastAsia="標楷體" w:cs="Times New Roman"/>
        </w:rPr>
        <w:t>mAP50–95</w:t>
      </w:r>
      <w:r>
        <w:rPr>
          <w:rFonts w:ascii="Times New Roman" w:eastAsia="標楷體" w:cs="Times New Roman"/>
        </w:rPr>
        <w:t>對定位更嚴格；</w:t>
      </w:r>
      <w:r>
        <w:rPr>
          <w:rFonts w:ascii="Times New Roman" w:eastAsia="標楷體" w:cs="Times New Roman"/>
        </w:rPr>
        <w:t>Precision</w:t>
      </w:r>
      <w:r>
        <w:rPr>
          <w:rFonts w:ascii="Times New Roman" w:eastAsia="標楷體" w:cs="Times New Roman"/>
        </w:rPr>
        <w:t>關心誤報，</w:t>
      </w:r>
      <w:r>
        <w:rPr>
          <w:rFonts w:ascii="Times New Roman" w:eastAsia="標楷體" w:cs="Times New Roman"/>
        </w:rPr>
        <w:t>Recall</w:t>
      </w:r>
      <w:r>
        <w:rPr>
          <w:rFonts w:ascii="Times New Roman" w:eastAsia="標楷體" w:cs="Times New Roman"/>
        </w:rPr>
        <w:t>關心漏報，混淆矩陣的</w:t>
      </w:r>
      <w:r>
        <w:rPr>
          <w:rFonts w:ascii="Times New Roman" w:eastAsia="標楷體" w:cs="Times New Roman"/>
        </w:rPr>
        <w:t>Jaccard</w:t>
      </w:r>
      <w:r>
        <w:rPr>
          <w:rFonts w:ascii="Times New Roman" w:eastAsia="標楷體" w:cs="Times New Roman"/>
        </w:rPr>
        <w:t>則以固定信心閾值計算，不應在同一表格中被解釋為相同意義。對農業使用者而言，低</w:t>
      </w:r>
      <w:r>
        <w:rPr>
          <w:rFonts w:ascii="Times New Roman" w:eastAsia="標楷體" w:cs="Times New Roman"/>
        </w:rPr>
        <w:t>Recall</w:t>
      </w:r>
      <w:r>
        <w:rPr>
          <w:rFonts w:ascii="Times New Roman" w:eastAsia="標楷體" w:cs="Times New Roman"/>
        </w:rPr>
        <w:t>可能漏掉小型害蟲，低</w:t>
      </w:r>
      <w:r>
        <w:rPr>
          <w:rFonts w:ascii="Times New Roman" w:eastAsia="標楷體" w:cs="Times New Roman"/>
        </w:rPr>
        <w:t>Precision</w:t>
      </w:r>
      <w:r>
        <w:rPr>
          <w:rFonts w:ascii="Times New Roman" w:eastAsia="標楷體" w:cs="Times New Roman"/>
        </w:rPr>
        <w:t>則可能造成不必要的人工檢查，因此部署時應依使用情境調整閾值，而非追求單一最高分。</w:t>
      </w:r>
    </w:p>
    <w:p w14:paraId="1A084E6B" w14:textId="77777777" w:rsidR="0095653D" w:rsidRDefault="00721AAD">
      <w:pPr>
        <w:pStyle w:val="ac"/>
      </w:pPr>
      <w:r>
        <w:rPr>
          <w:rFonts w:ascii="Times New Roman" w:eastAsia="標楷體" w:cs="Times New Roman"/>
        </w:rPr>
        <w:t>問答評估亦分層解讀：同時報告</w:t>
      </w:r>
      <w:r>
        <w:rPr>
          <w:rFonts w:ascii="Times New Roman" w:eastAsia="標楷體" w:cs="Times New Roman"/>
        </w:rPr>
        <w:t>Faithfulness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Context Precision</w:t>
      </w:r>
      <w:r>
        <w:rPr>
          <w:rFonts w:ascii="Times New Roman" w:eastAsia="標楷體" w:cs="Times New Roman"/>
        </w:rPr>
        <w:t>與</w:t>
      </w:r>
      <w:r>
        <w:rPr>
          <w:rFonts w:ascii="Times New Roman" w:eastAsia="標楷體" w:cs="Times New Roman"/>
        </w:rPr>
        <w:t>Context Recall</w:t>
      </w:r>
      <w:r>
        <w:rPr>
          <w:rFonts w:ascii="Times New Roman" w:eastAsia="標楷體" w:cs="Times New Roman"/>
        </w:rPr>
        <w:t>，可區分「檢索正確但回答越界」、「檢索遺漏」與「模型未依從證據」三種失敗；邊界題測試系統能否在證據不足時停止生成，是農業處置情境不可省略的安全指標。</w:t>
      </w:r>
    </w:p>
    <w:p w14:paraId="4BB525AE" w14:textId="77777777" w:rsidR="0095653D" w:rsidRDefault="00721AAD">
      <w:pPr>
        <w:pStyle w:val="2"/>
      </w:pPr>
      <w:r>
        <w:t>使用情境與風險管理</w:t>
      </w:r>
    </w:p>
    <w:p w14:paraId="7F7350A2" w14:textId="77777777" w:rsidR="0095653D" w:rsidRDefault="00721AAD">
      <w:pPr>
        <w:pStyle w:val="ac"/>
      </w:pPr>
      <w:r>
        <w:rPr>
          <w:rFonts w:ascii="Times New Roman" w:eastAsia="標楷體" w:cs="Times New Roman"/>
        </w:rPr>
        <w:t>使用者拍攝葉片或從相簿選取影像後，系統回傳候選病蟲害、信心與</w:t>
      </w:r>
      <w:r>
        <w:rPr>
          <w:rFonts w:ascii="Times New Roman" w:eastAsia="標楷體" w:cs="Times New Roman"/>
        </w:rPr>
        <w:t>bounding box</w:t>
      </w:r>
      <w:r>
        <w:rPr>
          <w:rFonts w:ascii="Times New Roman" w:eastAsia="標楷體" w:cs="Times New Roman"/>
        </w:rPr>
        <w:t>，並以信心最高的候選結果開啟問答，使用者可再輸入症狀或管理問題。端側檢索依作物、病蟲害、病徵與問題詞彙選擇切片；若沒有切片通過門檻，系統顯示查無高信心知識並建議諮詢在地專家，而非將一般語言模型知識當成正式防治建議。回答中應保留證據摘要，讓使用者能追溯建議來源。</w:t>
      </w:r>
    </w:p>
    <w:p w14:paraId="05E9618C" w14:textId="77777777" w:rsidR="0095653D" w:rsidRDefault="00721AAD">
      <w:pPr>
        <w:pStyle w:val="ac"/>
      </w:pPr>
      <w:r>
        <w:rPr>
          <w:rFonts w:ascii="Times New Roman" w:eastAsia="標楷體" w:cs="Times New Roman"/>
        </w:rPr>
        <w:t>風險管理分為三層：資料層將不同作物、病蟲害與施用條件分開建檔，避免切片互相污染；模型層利用微調與結構化輸出減少偽學名、重複句與跨實體混合；應用層在檢索空集合、跨作物或非農業提問時中止，化學名稱與未驗證處置的標註則列為後續工作。三層機制缺一不可，因為再好的模型也可能遇到資料庫未涵蓋的新情境。</w:t>
      </w:r>
    </w:p>
    <w:p w14:paraId="654FF3BA" w14:textId="77777777" w:rsidR="0095653D" w:rsidRDefault="00721AAD">
      <w:pPr>
        <w:pStyle w:val="ac"/>
      </w:pPr>
      <w:r>
        <w:rPr>
          <w:rFonts w:ascii="Times New Roman" w:eastAsia="標楷體" w:cs="Times New Roman"/>
        </w:rPr>
        <w:t>本系統定位為離線的初步篩檢與證據導覽工</w:t>
      </w:r>
      <w:r>
        <w:rPr>
          <w:rFonts w:ascii="Times New Roman" w:eastAsia="標楷體" w:cs="Times New Roman"/>
        </w:rPr>
        <w:t>具，而非自動開立處方。農民可用辨識結果決定是否拍攝更多角度或尋求專業協助；農業人員可利用</w:t>
      </w:r>
      <w:r>
        <w:rPr>
          <w:rFonts w:ascii="Times New Roman" w:eastAsia="標楷體" w:cs="Times New Roman"/>
        </w:rPr>
        <w:t>bounding box</w:t>
      </w:r>
      <w:r>
        <w:rPr>
          <w:rFonts w:ascii="Times New Roman" w:eastAsia="標楷體" w:cs="Times New Roman"/>
        </w:rPr>
        <w:t>、候選類別與來源切片加速初步判讀。正式用藥仍須核對農業部</w:t>
      </w:r>
      <w:r>
        <w:rPr>
          <w:rFonts w:ascii="Times New Roman" w:eastAsia="標楷體" w:cs="Times New Roman"/>
        </w:rPr>
        <w:t>[15]</w:t>
      </w:r>
      <w:r>
        <w:rPr>
          <w:rFonts w:ascii="Times New Roman" w:eastAsia="標楷體" w:cs="Times New Roman"/>
        </w:rPr>
        <w:t>公告、產品標籤、作物與病蟲害適用範圍，以及施用濃度與安全採收期。</w:t>
      </w:r>
    </w:p>
    <w:p w14:paraId="4746056E" w14:textId="77777777" w:rsidR="0095653D" w:rsidRDefault="00721AAD">
      <w:pPr>
        <w:pStyle w:val="2"/>
      </w:pPr>
      <w:r>
        <w:t>可重現性與後續研究</w:t>
      </w:r>
    </w:p>
    <w:p w14:paraId="644B2526" w14:textId="77777777" w:rsidR="0095653D" w:rsidRDefault="00721AAD">
      <w:pPr>
        <w:pStyle w:val="ac"/>
      </w:pPr>
      <w:r>
        <w:rPr>
          <w:rFonts w:ascii="Times New Roman" w:eastAsia="標楷體" w:cs="Times New Roman"/>
        </w:rPr>
        <w:t>為確保可重現性，本研究記錄資料集切分、影像與標註數量、標註規則、近重複檢查方法、模型訓練設定、信心閾值、知識切片版本、題庫內容、評測裁判規則、裝置型號與執行緒數。每次更新資料或知識庫後，應重新執行漏洩檢查、類別級評估、邊界題與長時間負載測試；只更新模型權重而不重新驗證知識庫，無法保證問答安全性，只更新知識庫也可能改變答案分布與延遲。</w:t>
      </w:r>
    </w:p>
    <w:p w14:paraId="31DD1AFE" w14:textId="77777777" w:rsidR="0095653D" w:rsidRDefault="00721AAD">
      <w:pPr>
        <w:pStyle w:val="ac"/>
      </w:pPr>
      <w:r>
        <w:rPr>
          <w:rFonts w:ascii="Times New Roman" w:eastAsia="標楷體" w:cs="Times New Roman"/>
        </w:rPr>
        <w:t>後續研究有四個方向：（</w:t>
      </w:r>
      <w:r>
        <w:rPr>
          <w:rFonts w:ascii="Times New Roman" w:eastAsia="標楷體" w:cs="Times New Roman"/>
        </w:rPr>
        <w:t>1</w:t>
      </w:r>
      <w:r>
        <w:rPr>
          <w:rFonts w:ascii="Times New Roman" w:eastAsia="標楷體" w:cs="Times New Roman"/>
        </w:rPr>
        <w:t>）偵測與</w:t>
      </w:r>
      <w:r>
        <w:rPr>
          <w:rFonts w:ascii="Times New Roman" w:eastAsia="標楷體" w:cs="Times New Roman"/>
        </w:rPr>
        <w:t>RAG</w:t>
      </w:r>
      <w:r>
        <w:rPr>
          <w:rFonts w:ascii="Times New Roman" w:eastAsia="標楷體" w:cs="Times New Roman"/>
        </w:rPr>
        <w:t>實驗皆重複至少三次並擴及多種手機與作物，報告平均值與</w:t>
      </w:r>
      <w:r>
        <w:rPr>
          <w:rFonts w:ascii="Times New Roman" w:eastAsia="標楷體" w:cs="Times New Roman"/>
        </w:rPr>
        <w:t>bootstrap</w:t>
      </w:r>
      <w:r>
        <w:rPr>
          <w:rFonts w:ascii="Times New Roman" w:eastAsia="標楷體" w:cs="Times New Roman"/>
        </w:rPr>
        <w:t>信賴區間；（</w:t>
      </w:r>
      <w:r>
        <w:rPr>
          <w:rFonts w:ascii="Times New Roman" w:eastAsia="標楷體" w:cs="Times New Roman"/>
        </w:rPr>
        <w:t>2</w:t>
      </w:r>
      <w:r>
        <w:rPr>
          <w:rFonts w:ascii="Times New Roman" w:eastAsia="標楷體" w:cs="Times New Roman"/>
        </w:rPr>
        <w:t>）將標註一致性研究擴大到九類、不同拍攝條件與病徵嚴重度；（</w:t>
      </w:r>
      <w:r>
        <w:rPr>
          <w:rFonts w:ascii="Times New Roman" w:eastAsia="標楷體" w:cs="Times New Roman"/>
        </w:rPr>
        <w:t>3</w:t>
      </w:r>
      <w:r>
        <w:rPr>
          <w:rFonts w:ascii="Times New Roman" w:eastAsia="標楷體" w:cs="Times New Roman"/>
        </w:rPr>
        <w:t>）蒐集與訓練資料同域的果園影像，以</w:t>
      </w:r>
      <w:r>
        <w:rPr>
          <w:rFonts w:ascii="Times New Roman" w:eastAsia="標楷體" w:cs="Times New Roman"/>
        </w:rPr>
        <w:t>farm-level split</w:t>
      </w:r>
      <w:r>
        <w:rPr>
          <w:rFonts w:ascii="Times New Roman" w:eastAsia="標楷體" w:cs="Times New Roman"/>
        </w:rPr>
        <w:t>評估跨果園泛化；（</w:t>
      </w:r>
      <w:r>
        <w:rPr>
          <w:rFonts w:ascii="Times New Roman" w:eastAsia="標楷體" w:cs="Times New Roman"/>
        </w:rPr>
        <w:t>4</w:t>
      </w:r>
      <w:r>
        <w:rPr>
          <w:rFonts w:ascii="Times New Roman" w:eastAsia="標楷體" w:cs="Times New Roman"/>
        </w:rPr>
        <w:t>）由農業專家雙人審查所有化學處置陳述，將模型忠實度與實務正確性分開報告。這些工作能把工程驗證推進至田間部署驗證。</w:t>
      </w:r>
    </w:p>
    <w:p w14:paraId="0A61433D" w14:textId="77777777" w:rsidR="0095653D" w:rsidRDefault="00721AAD">
      <w:pPr>
        <w:pStyle w:val="1"/>
        <w:spacing w:after="120"/>
        <w:ind w:left="284" w:hanging="284"/>
      </w:pPr>
      <w:r>
        <w:t>結論</w:t>
      </w:r>
    </w:p>
    <w:p w14:paraId="505D4124" w14:textId="77777777" w:rsidR="0095653D" w:rsidRDefault="00721AAD">
      <w:pPr>
        <w:pStyle w:val="ac"/>
      </w:pPr>
      <w:r>
        <w:rPr>
          <w:rFonts w:ascii="Times New Roman" w:eastAsia="標楷體" w:cs="Times New Roman"/>
        </w:rPr>
        <w:t>本研究提出完全在地端執行的柑橘病蟲害辨識與接地式診斷方法。影像模型在九類測試集達</w:t>
      </w:r>
      <w:r>
        <w:rPr>
          <w:rFonts w:ascii="Times New Roman" w:eastAsia="標楷體" w:cs="Times New Roman"/>
        </w:rPr>
        <w:t>mAP50=0.861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mAP50–95=0.641</w:t>
      </w:r>
      <w:r>
        <w:rPr>
          <w:rFonts w:ascii="Times New Roman" w:eastAsia="標楷體" w:cs="Times New Roman"/>
        </w:rPr>
        <w:t>；端側</w:t>
      </w:r>
      <w:r>
        <w:rPr>
          <w:rFonts w:ascii="Times New Roman" w:eastAsia="標楷體" w:cs="Times New Roman"/>
        </w:rPr>
        <w:t>RAG</w:t>
      </w:r>
      <w:r>
        <w:rPr>
          <w:rFonts w:ascii="Times New Roman" w:eastAsia="標楷體" w:cs="Times New Roman"/>
        </w:rPr>
        <w:t>在</w:t>
      </w:r>
      <w:r>
        <w:rPr>
          <w:rFonts w:ascii="Times New Roman" w:eastAsia="標楷體" w:cs="Times New Roman"/>
        </w:rPr>
        <w:t>40</w:t>
      </w:r>
      <w:r>
        <w:rPr>
          <w:rFonts w:ascii="Times New Roman" w:eastAsia="標楷體" w:cs="Times New Roman"/>
        </w:rPr>
        <w:t>題評估中達</w:t>
      </w:r>
      <w:r>
        <w:rPr>
          <w:rFonts w:ascii="Times New Roman" w:eastAsia="標楷體" w:cs="Times New Roman"/>
        </w:rPr>
        <w:t>Faithfulness=85.05%</w:t>
      </w:r>
      <w:r>
        <w:rPr>
          <w:rFonts w:ascii="Times New Roman" w:eastAsia="標楷體" w:cs="Times New Roman"/>
        </w:rPr>
        <w:t>、</w:t>
      </w:r>
      <w:r>
        <w:rPr>
          <w:rFonts w:ascii="Times New Roman" w:eastAsia="標楷體" w:cs="Times New Roman"/>
        </w:rPr>
        <w:t>Context Precision=100.0%</w:t>
      </w:r>
      <w:r>
        <w:rPr>
          <w:rFonts w:ascii="Times New Roman" w:eastAsia="標楷體" w:cs="Times New Roman"/>
        </w:rPr>
        <w:t>與</w:t>
      </w:r>
      <w:r>
        <w:rPr>
          <w:rFonts w:ascii="Times New Roman" w:eastAsia="標楷體" w:cs="Times New Roman"/>
        </w:rPr>
        <w:t>Context Recall=93.06%</w:t>
      </w:r>
      <w:r>
        <w:rPr>
          <w:rFonts w:ascii="Times New Roman" w:eastAsia="標楷體" w:cs="Times New Roman"/>
        </w:rPr>
        <w:t>，並能防禦跨作物與領域外邊界問題。消融顯示知識切片粒度影響最大，微調模型則必須搭配護欄。實驗顯示，資料標註一致性、域相似性、檢索證據與安全護欄對系統可靠性的影響不低於模型架構本身。此方法可作為離線農業輔助工具的基礎，但所有防治建議仍應以官方標示與農業專業人員判斷為準。</w:t>
      </w:r>
    </w:p>
    <w:p w14:paraId="2498F4F2" w14:textId="77777777" w:rsidR="0095653D" w:rsidRDefault="00721AAD">
      <w:pPr>
        <w:pStyle w:val="1"/>
        <w:spacing w:after="120"/>
        <w:ind w:left="284" w:hanging="284"/>
      </w:pPr>
      <w:r>
        <w:t>參考文獻</w:t>
      </w:r>
    </w:p>
    <w:p w14:paraId="1AF9ACDA" w14:textId="77777777" w:rsidR="0095653D" w:rsidRDefault="00721AAD">
      <w:pPr>
        <w:pStyle w:val="a"/>
      </w:pPr>
      <w:r>
        <w:t xml:space="preserve">Ashurov, A. Y., Al-Gaashani, M. S. A. M., Samee, N. A., Alkanhel, R., Atteia, G., Abdallah, </w:t>
      </w:r>
      <w:r>
        <w:lastRenderedPageBreak/>
        <w:t xml:space="preserve">H. A., &amp; Saleh Ali Muthanna, M. (2025). “Enhancing plant disease detection through deep learning: A depthwise CNN with squeeze and excitation integration and residual skip connections” </w:t>
      </w:r>
      <w:r>
        <w:rPr>
          <w:i/>
          <w:iCs/>
        </w:rPr>
        <w:t>Frontiers in Plant Science</w:t>
      </w:r>
      <w:r>
        <w:t xml:space="preserve">, </w:t>
      </w:r>
      <w:r>
        <w:rPr>
          <w:i/>
          <w:iCs/>
        </w:rPr>
        <w:t>15</w:t>
      </w:r>
      <w:r>
        <w:t>, 1505857.</w:t>
      </w:r>
    </w:p>
    <w:p w14:paraId="7768DEDD" w14:textId="77777777" w:rsidR="0095653D" w:rsidRDefault="00721AAD">
      <w:pPr>
        <w:pStyle w:val="a"/>
      </w:pPr>
      <w:r>
        <w:t xml:space="preserve">Deng, J., Dong, W., Socher, R., Li, L.-J., Li, K., &amp; Fei-Fei, L. (2009). “ImageNet: A large-scale hierarchical image database” </w:t>
      </w:r>
      <w:r>
        <w:rPr>
          <w:i/>
          <w:iCs/>
        </w:rPr>
        <w:t>Proceedings of the IEEE Conference on Computer Vision and Pattern Recognition (CVPR)</w:t>
      </w:r>
      <w:r>
        <w:t>, pp. 248–255.</w:t>
      </w:r>
    </w:p>
    <w:p w14:paraId="0D3AC2EB" w14:textId="77777777" w:rsidR="0095653D" w:rsidRDefault="00721AAD">
      <w:pPr>
        <w:pStyle w:val="a"/>
      </w:pPr>
      <w:r>
        <w:t xml:space="preserve">Es, S., James, J., Espinosa-Anke, L., &amp; Schockaert, S. (2023). “RAGAS: Automated evaluation of retrieval augmented generation” </w:t>
      </w:r>
      <w:r>
        <w:rPr>
          <w:i/>
          <w:iCs/>
        </w:rPr>
        <w:t>arXiv preprint arXiv:2309.15217</w:t>
      </w:r>
      <w:r>
        <w:t>.</w:t>
      </w:r>
    </w:p>
    <w:p w14:paraId="225463F3" w14:textId="77777777" w:rsidR="0095653D" w:rsidRDefault="00721AAD">
      <w:pPr>
        <w:pStyle w:val="a"/>
      </w:pPr>
      <w:r>
        <w:t xml:space="preserve">Feng, W., Liu, J., Li, Z., &amp; Lyu, S. (2025). “YOLO-Citrus: A lightweight and efficient model for citrus leaf disease detection in complex agricultural environments” </w:t>
      </w:r>
      <w:r>
        <w:rPr>
          <w:i/>
          <w:iCs/>
        </w:rPr>
        <w:t>Frontiers in Plant Science</w:t>
      </w:r>
      <w:r>
        <w:t xml:space="preserve">, </w:t>
      </w:r>
      <w:r>
        <w:rPr>
          <w:i/>
          <w:iCs/>
        </w:rPr>
        <w:t>16</w:t>
      </w:r>
      <w:r>
        <w:t>, 1668036.</w:t>
      </w:r>
    </w:p>
    <w:p w14:paraId="1A8B2C0F" w14:textId="77777777" w:rsidR="0095653D" w:rsidRDefault="00721AAD">
      <w:pPr>
        <w:pStyle w:val="a"/>
      </w:pPr>
      <w:r>
        <w:t xml:space="preserve">Ferentinos, K. P. (2018). “Deep learning models for plant disease detection and diagnosis” </w:t>
      </w:r>
      <w:r>
        <w:rPr>
          <w:i/>
          <w:iCs/>
        </w:rPr>
        <w:t>Computers and Electronics in Agriculture</w:t>
      </w:r>
      <w:r>
        <w:t xml:space="preserve">, </w:t>
      </w:r>
      <w:r>
        <w:rPr>
          <w:i/>
          <w:iCs/>
        </w:rPr>
        <w:t>145</w:t>
      </w:r>
      <w:r>
        <w:t>, 311–318.</w:t>
      </w:r>
    </w:p>
    <w:p w14:paraId="6825F990" w14:textId="77777777" w:rsidR="0095653D" w:rsidRDefault="00721AAD">
      <w:pPr>
        <w:pStyle w:val="a"/>
      </w:pPr>
      <w:r>
        <w:t xml:space="preserve">Goyal, A., &amp; Lakhwani, K. (2025). “Integrating advanced deep learning techniques for enhanced detection and classification of citrus leaf and fruit diseases” </w:t>
      </w:r>
      <w:r>
        <w:rPr>
          <w:i/>
          <w:iCs/>
        </w:rPr>
        <w:t>Scientific Reports</w:t>
      </w:r>
      <w:r>
        <w:t xml:space="preserve">, </w:t>
      </w:r>
      <w:r>
        <w:rPr>
          <w:i/>
          <w:iCs/>
        </w:rPr>
        <w:t>15</w:t>
      </w:r>
      <w:r>
        <w:t>, 12659.</w:t>
      </w:r>
    </w:p>
    <w:p w14:paraId="13E3F969" w14:textId="77777777" w:rsidR="0095653D" w:rsidRDefault="00721AAD">
      <w:pPr>
        <w:pStyle w:val="a"/>
      </w:pPr>
      <w:r>
        <w:t xml:space="preserve">Guainazzo, N., Delzanno, G., Ancona, D., &amp; D’Agostino, D. (2026). “Navigating the seas of AI: Effectiveness of small language models on edge devices for maritime applications” </w:t>
      </w:r>
      <w:r>
        <w:rPr>
          <w:i/>
          <w:iCs/>
        </w:rPr>
        <w:t>Sensors</w:t>
      </w:r>
      <w:r>
        <w:t xml:space="preserve">, </w:t>
      </w:r>
      <w:r>
        <w:rPr>
          <w:i/>
          <w:iCs/>
        </w:rPr>
        <w:t>26</w:t>
      </w:r>
      <w:r>
        <w:t>(5), 1590.</w:t>
      </w:r>
    </w:p>
    <w:p w14:paraId="2BE3DA6E" w14:textId="77777777" w:rsidR="0095653D" w:rsidRDefault="00721AAD">
      <w:pPr>
        <w:pStyle w:val="a"/>
      </w:pPr>
      <w:r>
        <w:t xml:space="preserve">Guan, H., Fu, C., Zhang, G., Li, K., Wang, P., &amp; Zhu, Z. (2023). “A lightweight model for efficient identification of plant diseases and pests based on deep learning” </w:t>
      </w:r>
      <w:r>
        <w:rPr>
          <w:i/>
          <w:iCs/>
        </w:rPr>
        <w:t>Frontiers in Plant Science</w:t>
      </w:r>
      <w:r>
        <w:t xml:space="preserve">, </w:t>
      </w:r>
      <w:r>
        <w:rPr>
          <w:i/>
          <w:iCs/>
        </w:rPr>
        <w:t>14</w:t>
      </w:r>
      <w:r>
        <w:t>, 1227011.</w:t>
      </w:r>
    </w:p>
    <w:p w14:paraId="5F3F8B05" w14:textId="77777777" w:rsidR="0095653D" w:rsidRDefault="00721AAD">
      <w:pPr>
        <w:pStyle w:val="a"/>
      </w:pPr>
      <w:r>
        <w:t xml:space="preserve">He, K., Zhang, X., Ren, S., &amp; Sun, J. (2016). “Deep residual learning for image recognition” </w:t>
      </w:r>
      <w:r>
        <w:rPr>
          <w:i/>
          <w:iCs/>
        </w:rPr>
        <w:t>Proceedings of the IEEE Conference on Computer Vision and Pattern Recognition (CVPR)</w:t>
      </w:r>
      <w:r>
        <w:t>, pp. 770–778.</w:t>
      </w:r>
    </w:p>
    <w:p w14:paraId="23C52F96" w14:textId="77777777" w:rsidR="0095653D" w:rsidRDefault="00721AAD">
      <w:pPr>
        <w:pStyle w:val="a"/>
      </w:pPr>
      <w:r>
        <w:t xml:space="preserve">Hu, E. J., Shen, Y., Wallis, P., Allen-Zhu, Z., Li, Y., Wang, S., Wang, L., &amp; Chen, W. (2021). “LoRA: Low-rank adaptation of large language models” </w:t>
      </w:r>
      <w:r>
        <w:rPr>
          <w:i/>
          <w:iCs/>
        </w:rPr>
        <w:t>arXiv preprint arXiv:2106.09685</w:t>
      </w:r>
      <w:r>
        <w:t>.</w:t>
      </w:r>
    </w:p>
    <w:p w14:paraId="5EBF4F21" w14:textId="77777777" w:rsidR="0095653D" w:rsidRDefault="00721AAD">
      <w:pPr>
        <w:pStyle w:val="a"/>
      </w:pPr>
      <w:r>
        <w:t xml:space="preserve">Hughes, D. P., &amp; Salathé, M. (2015). “An open access repository of images on plant health to enable the development of mobile disease diagnostics” </w:t>
      </w:r>
      <w:r>
        <w:rPr>
          <w:i/>
          <w:iCs/>
        </w:rPr>
        <w:t>arXiv preprint arXiv:1511.08060</w:t>
      </w:r>
      <w:r>
        <w:t>.</w:t>
      </w:r>
    </w:p>
    <w:p w14:paraId="6C4B8352" w14:textId="77777777" w:rsidR="0095653D" w:rsidRDefault="00721AAD">
      <w:pPr>
        <w:pStyle w:val="a"/>
      </w:pPr>
      <w:r>
        <w:t xml:space="preserve">Kamilaris, A., &amp; Prenafeta-Boldú, F. X. (2018). “Deep learning in agriculture: A survey” </w:t>
      </w:r>
      <w:r>
        <w:rPr>
          <w:i/>
          <w:iCs/>
        </w:rPr>
        <w:t>Computers and Electronics in Agriculture</w:t>
      </w:r>
      <w:r>
        <w:t xml:space="preserve">, </w:t>
      </w:r>
      <w:r>
        <w:rPr>
          <w:i/>
          <w:iCs/>
        </w:rPr>
        <w:t>147</w:t>
      </w:r>
      <w:r>
        <w:t>, 70–90.</w:t>
      </w:r>
    </w:p>
    <w:p w14:paraId="27F9D4EE" w14:textId="77777777" w:rsidR="0095653D" w:rsidRDefault="00721AAD">
      <w:pPr>
        <w:pStyle w:val="a"/>
      </w:pPr>
      <w:r>
        <w:t xml:space="preserve">Kang, D. H., Lee, H., Cha, H., Choi, M., &amp; Lim, S. (2026). “Pocket RAG: On-device RAG for first aid guidance in offline mobile </w:t>
      </w:r>
      <w:r>
        <w:t xml:space="preserve">environments” </w:t>
      </w:r>
      <w:r>
        <w:rPr>
          <w:i/>
          <w:iCs/>
        </w:rPr>
        <w:t>arXiv preprint arXiv:2602.13229</w:t>
      </w:r>
      <w:r>
        <w:t>.</w:t>
      </w:r>
    </w:p>
    <w:p w14:paraId="366A76EB" w14:textId="77777777" w:rsidR="0095653D" w:rsidRDefault="00721AAD">
      <w:pPr>
        <w:pStyle w:val="a"/>
      </w:pPr>
      <w:r>
        <w:t xml:space="preserve">Lin, T.-Y., Goyal, P., Girshick, R., He, K., &amp; Dollár, P. (2017). “Focal loss for dense object detection” </w:t>
      </w:r>
      <w:r>
        <w:rPr>
          <w:i/>
          <w:iCs/>
        </w:rPr>
        <w:t>Proceedings of the IEEE International Conference on Computer Vision (ICCV)</w:t>
      </w:r>
      <w:r>
        <w:t>, pp. 2980–2988.</w:t>
      </w:r>
    </w:p>
    <w:p w14:paraId="2D60E1A6" w14:textId="77777777" w:rsidR="0095653D" w:rsidRDefault="00721AAD">
      <w:pPr>
        <w:pStyle w:val="a"/>
      </w:pPr>
      <w:r>
        <w:t>Ministry of Agriculture, Taiwan. (2026). “Ministry of Agriculture official website” Retrieved July 2, 2026, from https://www.moa.gov.tw/</w:t>
      </w:r>
    </w:p>
    <w:p w14:paraId="78BD73B2" w14:textId="77777777" w:rsidR="0095653D" w:rsidRDefault="00721AAD">
      <w:pPr>
        <w:pStyle w:val="a"/>
      </w:pPr>
      <w:r>
        <w:t xml:space="preserve">Mohanty, S. P., Hughes, D. P., &amp; Salathé, M. (2016). “Using deep learning for image-based plant disease detection” </w:t>
      </w:r>
      <w:r>
        <w:rPr>
          <w:i/>
          <w:iCs/>
        </w:rPr>
        <w:t>Frontiers in Plant Science</w:t>
      </w:r>
      <w:r>
        <w:t xml:space="preserve">, </w:t>
      </w:r>
      <w:r>
        <w:rPr>
          <w:i/>
          <w:iCs/>
        </w:rPr>
        <w:t>7</w:t>
      </w:r>
      <w:r>
        <w:t>, 1419.</w:t>
      </w:r>
    </w:p>
    <w:p w14:paraId="170C5E11" w14:textId="77777777" w:rsidR="0095653D" w:rsidRDefault="00721AAD">
      <w:pPr>
        <w:pStyle w:val="a"/>
      </w:pPr>
      <w:r>
        <w:t xml:space="preserve">Pacal, I., Kunduracioglu, I., Alma, M. H., Deveci, M., Kadry, S., Nedoma, J., Slany, V., &amp; Martinek, R. (2024). “A systematic review of deep learning techniques for plant diseases” </w:t>
      </w:r>
      <w:r>
        <w:rPr>
          <w:i/>
          <w:iCs/>
        </w:rPr>
        <w:t>Artificial Intelligence Review</w:t>
      </w:r>
      <w:r>
        <w:t xml:space="preserve">, </w:t>
      </w:r>
      <w:r>
        <w:rPr>
          <w:i/>
          <w:iCs/>
        </w:rPr>
        <w:t>57</w:t>
      </w:r>
      <w:r>
        <w:t>(11), 304.</w:t>
      </w:r>
    </w:p>
    <w:p w14:paraId="508162F4" w14:textId="77777777" w:rsidR="0095653D" w:rsidRDefault="00721AAD">
      <w:pPr>
        <w:pStyle w:val="a"/>
      </w:pPr>
      <w:r>
        <w:t xml:space="preserve">Qwen Team. (2025). “Qwen2.5 technical report” </w:t>
      </w:r>
      <w:r>
        <w:rPr>
          <w:i/>
          <w:iCs/>
        </w:rPr>
        <w:t>arXiv preprint arXiv:2412.15115</w:t>
      </w:r>
      <w:r>
        <w:t>.</w:t>
      </w:r>
    </w:p>
    <w:p w14:paraId="0EBE0E00" w14:textId="77777777" w:rsidR="0095653D" w:rsidRDefault="00721AAD">
      <w:pPr>
        <w:pStyle w:val="a"/>
      </w:pPr>
      <w:r>
        <w:t xml:space="preserve">Rafailov, R., Sharma, A., Mitchell, E., Manning, C. D., Ermon, S., &amp; Finn, C. (2023). “Direct preference optimization: Your language model is secretly a reward model” </w:t>
      </w:r>
      <w:r>
        <w:rPr>
          <w:i/>
          <w:iCs/>
        </w:rPr>
        <w:t>Advances in Neural Information Processing Systems</w:t>
      </w:r>
      <w:r>
        <w:t xml:space="preserve">, </w:t>
      </w:r>
      <w:r>
        <w:rPr>
          <w:i/>
          <w:iCs/>
        </w:rPr>
        <w:t>36</w:t>
      </w:r>
      <w:r>
        <w:t>, 53728–53741.</w:t>
      </w:r>
    </w:p>
    <w:p w14:paraId="2C2BC3EF" w14:textId="77777777" w:rsidR="0095653D" w:rsidRDefault="00721AAD">
      <w:pPr>
        <w:pStyle w:val="a"/>
      </w:pPr>
      <w:r>
        <w:t xml:space="preserve">Selvaraju, R. R., Cogswell, M., Das, A., Vedantam, R., Parikh, D., &amp; Batra, D. (2017). “Grad-CAM: Visual explanations from deep networks via gradient-based localization” </w:t>
      </w:r>
      <w:r>
        <w:rPr>
          <w:i/>
          <w:iCs/>
        </w:rPr>
        <w:t>Proceedings of the IEEE International Conference on Computer Vision (ICCV)</w:t>
      </w:r>
      <w:r>
        <w:t>, pp. 618–626.</w:t>
      </w:r>
    </w:p>
    <w:p w14:paraId="26086890" w14:textId="77777777" w:rsidR="0095653D" w:rsidRDefault="00721AAD">
      <w:pPr>
        <w:pStyle w:val="a"/>
      </w:pPr>
      <w:r>
        <w:t xml:space="preserve">Shorten, C., &amp; Khoshgoftaar, T. M. (2019). “A survey on image data augmentation for deep learning” </w:t>
      </w:r>
      <w:r>
        <w:rPr>
          <w:i/>
          <w:iCs/>
        </w:rPr>
        <w:t>Journal of Big Data</w:t>
      </w:r>
      <w:r>
        <w:t xml:space="preserve">, </w:t>
      </w:r>
      <w:r>
        <w:rPr>
          <w:i/>
          <w:iCs/>
        </w:rPr>
        <w:t>6</w:t>
      </w:r>
      <w:r>
        <w:t>(1), 60.</w:t>
      </w:r>
    </w:p>
    <w:p w14:paraId="2BA033C1" w14:textId="77777777" w:rsidR="0095653D" w:rsidRDefault="00721AAD">
      <w:pPr>
        <w:pStyle w:val="a"/>
      </w:pPr>
      <w:r>
        <w:t xml:space="preserve">Xiong, H., Li, J., Wang, T., Zhang, F., &amp; Wang, Z. (2024). “EResNet-SVM: An overfitting-relieved deep learning model for recognition of plant diseases and pests” </w:t>
      </w:r>
      <w:r>
        <w:rPr>
          <w:i/>
          <w:iCs/>
        </w:rPr>
        <w:t>Journal of the Science of Food and Agriculture</w:t>
      </w:r>
      <w:r>
        <w:t xml:space="preserve">, </w:t>
      </w:r>
      <w:r>
        <w:rPr>
          <w:i/>
          <w:iCs/>
        </w:rPr>
        <w:t>104</w:t>
      </w:r>
      <w:r>
        <w:t>(10), 6018–6034.</w:t>
      </w:r>
    </w:p>
    <w:p w14:paraId="3BEE4BFB" w14:textId="77777777" w:rsidR="0095653D" w:rsidRDefault="00721AAD">
      <w:pPr>
        <w:pStyle w:val="a"/>
      </w:pPr>
      <w:r>
        <w:t xml:space="preserve">Xu, Y., Gao, Z., Zhai, Y., Wang, Q., Gao, Z., Xu, Z., &amp; Zhou, Y. (2023). “A CNNA-based lightweight multi-scale tomato pest and disease classification method” </w:t>
      </w:r>
      <w:r>
        <w:rPr>
          <w:i/>
          <w:iCs/>
        </w:rPr>
        <w:t>Sustainability</w:t>
      </w:r>
      <w:r>
        <w:t xml:space="preserve">, </w:t>
      </w:r>
      <w:r>
        <w:rPr>
          <w:i/>
          <w:iCs/>
        </w:rPr>
        <w:t>15</w:t>
      </w:r>
      <w:r>
        <w:t>(11), 8813.</w:t>
      </w:r>
    </w:p>
    <w:p w14:paraId="3FE59FFE" w14:textId="77777777" w:rsidR="0095653D" w:rsidRDefault="00721AAD">
      <w:pPr>
        <w:pStyle w:val="1"/>
        <w:spacing w:after="120"/>
        <w:ind w:left="284" w:hanging="284"/>
      </w:pPr>
      <w:r>
        <w:t>誌謝</w:t>
      </w:r>
    </w:p>
    <w:p w14:paraId="6737BBDF" w14:textId="77777777" w:rsidR="0095653D" w:rsidRDefault="00721AAD">
      <w:pPr>
        <w:pStyle w:val="a8"/>
        <w:ind w:firstLineChars="213" w:firstLine="426"/>
      </w:pPr>
      <w:r>
        <w:rPr>
          <w:rFonts w:eastAsia="標楷體"/>
        </w:rPr>
        <w:t>本研究部分受國科會計畫</w:t>
      </w:r>
      <w:r>
        <w:rPr>
          <w:rFonts w:eastAsia="標楷體"/>
        </w:rPr>
        <w:t>115-2221-E-025-006</w:t>
      </w:r>
      <w:r>
        <w:rPr>
          <w:rFonts w:eastAsia="標楷體"/>
        </w:rPr>
        <w:t>支持，謹此致謝。</w:t>
      </w:r>
    </w:p>
    <w:sectPr w:rsidR="0095653D" w:rsidSect="00AA5729">
      <w:type w:val="continuous"/>
      <w:pgSz w:w="11906" w:h="16838"/>
      <w:pgMar w:top="1418" w:right="1418" w:bottom="1418" w:left="1418" w:header="851" w:footer="992" w:gutter="0"/>
      <w:cols w:num="2"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69F32" w14:textId="77777777" w:rsidR="00721AAD" w:rsidRDefault="00721AAD" w:rsidP="00BD60EC">
      <w:r>
        <w:separator/>
      </w:r>
    </w:p>
  </w:endnote>
  <w:endnote w:type="continuationSeparator" w:id="0">
    <w:p w14:paraId="7639457B" w14:textId="77777777" w:rsidR="00721AAD" w:rsidRDefault="00721AAD" w:rsidP="00BD6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FE4E9" w14:textId="77777777" w:rsidR="006E321A" w:rsidRDefault="006E321A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1C638" w14:textId="77777777" w:rsidR="006E321A" w:rsidRDefault="006E321A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BAF65" w14:textId="77777777" w:rsidR="006E321A" w:rsidRDefault="006E321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A5E0D" w14:textId="77777777" w:rsidR="00721AAD" w:rsidRDefault="00721AAD" w:rsidP="00BD60EC">
      <w:r>
        <w:separator/>
      </w:r>
    </w:p>
  </w:footnote>
  <w:footnote w:type="continuationSeparator" w:id="0">
    <w:p w14:paraId="33D388E4" w14:textId="77777777" w:rsidR="00721AAD" w:rsidRDefault="00721AAD" w:rsidP="00BD60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D85DA" w14:textId="77777777" w:rsidR="006E321A" w:rsidRDefault="006E321A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E73EC" w14:textId="77777777" w:rsidR="006E321A" w:rsidRDefault="006E321A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00670" w14:textId="77777777" w:rsidR="006E321A" w:rsidRDefault="006E321A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C61EC"/>
    <w:multiLevelType w:val="multilevel"/>
    <w:tmpl w:val="1A3026C0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" w15:restartNumberingAfterBreak="0">
    <w:nsid w:val="659B487E"/>
    <w:multiLevelType w:val="hybridMultilevel"/>
    <w:tmpl w:val="568C9206"/>
    <w:lvl w:ilvl="0" w:tplc="732CEAB4">
      <w:start w:val="1"/>
      <w:numFmt w:val="decimal"/>
      <w:pStyle w:val="a"/>
      <w:lvlText w:val="[%1]"/>
      <w:lvlJc w:val="left"/>
      <w:pPr>
        <w:tabs>
          <w:tab w:val="num" w:pos="480"/>
        </w:tabs>
        <w:ind w:left="480" w:hanging="480"/>
      </w:p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176019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021566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90"/>
    <w:rsid w:val="00151BD1"/>
    <w:rsid w:val="00437790"/>
    <w:rsid w:val="005D1C8B"/>
    <w:rsid w:val="005D40E7"/>
    <w:rsid w:val="006176B9"/>
    <w:rsid w:val="006A5D94"/>
    <w:rsid w:val="006E321A"/>
    <w:rsid w:val="00721AAD"/>
    <w:rsid w:val="0095653D"/>
    <w:rsid w:val="00A9054E"/>
    <w:rsid w:val="00AA5729"/>
    <w:rsid w:val="00B005E7"/>
    <w:rsid w:val="00BD60EC"/>
    <w:rsid w:val="00D6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4456CD"/>
  <w15:chartTrackingRefBased/>
  <w15:docId w15:val="{6C50CB71-8BB2-4156-B518-B775098CC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">
    <w:name w:val="heading 1"/>
    <w:next w:val="a0"/>
    <w:link w:val="10"/>
    <w:qFormat/>
    <w:rsid w:val="00AA5729"/>
    <w:pPr>
      <w:keepNext/>
      <w:numPr>
        <w:numId w:val="1"/>
      </w:numPr>
      <w:spacing w:before="180" w:after="180"/>
      <w:outlineLvl w:val="0"/>
    </w:pPr>
    <w:rPr>
      <w:rFonts w:ascii="Arial" w:eastAsia="標楷體" w:hAnsi="Arial" w:cs="Times New Roman"/>
      <w:b/>
      <w:bCs/>
      <w:kern w:val="52"/>
      <w:szCs w:val="52"/>
    </w:rPr>
  </w:style>
  <w:style w:type="paragraph" w:styleId="2">
    <w:name w:val="heading 2"/>
    <w:next w:val="a0"/>
    <w:link w:val="20"/>
    <w:semiHidden/>
    <w:unhideWhenUsed/>
    <w:qFormat/>
    <w:rsid w:val="00AA5729"/>
    <w:pPr>
      <w:keepNext/>
      <w:numPr>
        <w:ilvl w:val="1"/>
        <w:numId w:val="1"/>
      </w:numPr>
      <w:spacing w:line="360" w:lineRule="auto"/>
      <w:outlineLvl w:val="1"/>
    </w:pPr>
    <w:rPr>
      <w:rFonts w:ascii="Arial" w:eastAsia="標楷體" w:hAnsi="Arial" w:cs="Times New Roman"/>
      <w:b/>
      <w:bCs/>
      <w:sz w:val="22"/>
      <w:szCs w:val="48"/>
    </w:rPr>
  </w:style>
  <w:style w:type="paragraph" w:styleId="3">
    <w:name w:val="heading 3"/>
    <w:next w:val="a0"/>
    <w:link w:val="30"/>
    <w:semiHidden/>
    <w:unhideWhenUsed/>
    <w:qFormat/>
    <w:rsid w:val="00AA5729"/>
    <w:pPr>
      <w:keepNext/>
      <w:numPr>
        <w:ilvl w:val="2"/>
        <w:numId w:val="1"/>
      </w:numPr>
      <w:spacing w:line="720" w:lineRule="auto"/>
      <w:outlineLvl w:val="2"/>
    </w:pPr>
    <w:rPr>
      <w:rFonts w:ascii="Arial" w:eastAsia="標楷體" w:hAnsi="Arial" w:cs="Times New Roman"/>
      <w:bCs/>
      <w:sz w:val="22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標題一"/>
    <w:basedOn w:val="a0"/>
    <w:qFormat/>
    <w:rsid w:val="00AA5729"/>
    <w:pPr>
      <w:jc w:val="center"/>
    </w:pPr>
    <w:rPr>
      <w:rFonts w:ascii="Times New Roman" w:eastAsia="新細明體" w:hAnsi="Times New Roman" w:cs="Times New Roman"/>
      <w:b/>
      <w:sz w:val="28"/>
      <w:szCs w:val="20"/>
    </w:rPr>
  </w:style>
  <w:style w:type="character" w:customStyle="1" w:styleId="10">
    <w:name w:val="標題 1 字元"/>
    <w:basedOn w:val="a1"/>
    <w:link w:val="1"/>
    <w:rsid w:val="00AA5729"/>
    <w:rPr>
      <w:rFonts w:ascii="Arial" w:eastAsia="標楷體" w:hAnsi="Arial" w:cs="Times New Roman"/>
      <w:b/>
      <w:bCs/>
      <w:kern w:val="52"/>
      <w:szCs w:val="52"/>
    </w:rPr>
  </w:style>
  <w:style w:type="character" w:customStyle="1" w:styleId="20">
    <w:name w:val="標題 2 字元"/>
    <w:basedOn w:val="a1"/>
    <w:link w:val="2"/>
    <w:semiHidden/>
    <w:rsid w:val="00AA5729"/>
    <w:rPr>
      <w:rFonts w:ascii="Arial" w:eastAsia="標楷體" w:hAnsi="Arial" w:cs="Times New Roman"/>
      <w:b/>
      <w:bCs/>
      <w:sz w:val="22"/>
      <w:szCs w:val="48"/>
    </w:rPr>
  </w:style>
  <w:style w:type="character" w:customStyle="1" w:styleId="30">
    <w:name w:val="標題 3 字元"/>
    <w:basedOn w:val="a1"/>
    <w:link w:val="3"/>
    <w:semiHidden/>
    <w:rsid w:val="00AA5729"/>
    <w:rPr>
      <w:rFonts w:ascii="Arial" w:eastAsia="標楷體" w:hAnsi="Arial" w:cs="Times New Roman"/>
      <w:bCs/>
      <w:sz w:val="22"/>
      <w:szCs w:val="36"/>
    </w:rPr>
  </w:style>
  <w:style w:type="character" w:styleId="a5">
    <w:name w:val="Hyperlink"/>
    <w:semiHidden/>
    <w:unhideWhenUsed/>
    <w:rsid w:val="00AA5729"/>
    <w:rPr>
      <w:color w:val="0000FF"/>
      <w:u w:val="single"/>
    </w:rPr>
  </w:style>
  <w:style w:type="paragraph" w:styleId="a6">
    <w:name w:val="Body Text Indent"/>
    <w:basedOn w:val="a0"/>
    <w:link w:val="a7"/>
    <w:semiHidden/>
    <w:unhideWhenUsed/>
    <w:rsid w:val="00AA5729"/>
    <w:pPr>
      <w:ind w:left="240" w:hanging="240"/>
      <w:jc w:val="both"/>
    </w:pPr>
    <w:rPr>
      <w:rFonts w:ascii="Times New Roman" w:eastAsia="新細明體" w:hAnsi="Times New Roman" w:cs="Times New Roman"/>
      <w:sz w:val="20"/>
      <w:szCs w:val="20"/>
    </w:rPr>
  </w:style>
  <w:style w:type="character" w:customStyle="1" w:styleId="a7">
    <w:name w:val="本文縮排 字元"/>
    <w:basedOn w:val="a1"/>
    <w:link w:val="a6"/>
    <w:semiHidden/>
    <w:rsid w:val="00AA5729"/>
    <w:rPr>
      <w:rFonts w:ascii="Times New Roman" w:eastAsia="新細明體" w:hAnsi="Times New Roman" w:cs="Times New Roman"/>
      <w:sz w:val="20"/>
      <w:szCs w:val="20"/>
    </w:rPr>
  </w:style>
  <w:style w:type="paragraph" w:customStyle="1" w:styleId="a8">
    <w:name w:val="內文一"/>
    <w:basedOn w:val="a0"/>
    <w:qFormat/>
    <w:rsid w:val="00AA5729"/>
    <w:pPr>
      <w:jc w:val="both"/>
    </w:pPr>
    <w:rPr>
      <w:rFonts w:ascii="Times New Roman" w:eastAsia="新細明體" w:hAnsi="Times New Roman" w:cs="Times New Roman"/>
      <w:sz w:val="20"/>
      <w:szCs w:val="20"/>
    </w:rPr>
  </w:style>
  <w:style w:type="paragraph" w:customStyle="1" w:styleId="a9">
    <w:name w:val="內文二"/>
    <w:basedOn w:val="a0"/>
    <w:qFormat/>
    <w:rsid w:val="00AA5729"/>
    <w:pPr>
      <w:jc w:val="both"/>
    </w:pPr>
    <w:rPr>
      <w:rFonts w:ascii="Times New Roman" w:eastAsia="新細明體" w:hAnsi="Times New Roman" w:cs="Times New Roman"/>
      <w:bCs/>
      <w:i/>
      <w:sz w:val="20"/>
      <w:szCs w:val="20"/>
    </w:rPr>
  </w:style>
  <w:style w:type="paragraph" w:customStyle="1" w:styleId="aa">
    <w:name w:val="圖表標題"/>
    <w:basedOn w:val="a0"/>
    <w:qFormat/>
    <w:rsid w:val="00AA5729"/>
    <w:pPr>
      <w:jc w:val="center"/>
    </w:pPr>
    <w:rPr>
      <w:rFonts w:ascii="Times New Roman" w:eastAsia="新細明體" w:hAnsi="Times New Roman" w:cs="Times New Roman"/>
      <w:sz w:val="20"/>
      <w:szCs w:val="20"/>
    </w:rPr>
  </w:style>
  <w:style w:type="paragraph" w:customStyle="1" w:styleId="ab">
    <w:name w:val="公式"/>
    <w:basedOn w:val="a0"/>
    <w:qFormat/>
    <w:rsid w:val="00AA5729"/>
    <w:pPr>
      <w:jc w:val="right"/>
    </w:pPr>
    <w:rPr>
      <w:rFonts w:ascii="Times New Roman" w:eastAsia="新細明體" w:hAnsi="Times New Roman" w:cs="Times New Roman"/>
      <w:sz w:val="20"/>
      <w:szCs w:val="20"/>
    </w:rPr>
  </w:style>
  <w:style w:type="paragraph" w:customStyle="1" w:styleId="ac">
    <w:name w:val="內文三"/>
    <w:basedOn w:val="a0"/>
    <w:rsid w:val="00AA5729"/>
    <w:pPr>
      <w:ind w:firstLineChars="200" w:firstLine="400"/>
      <w:jc w:val="both"/>
    </w:pPr>
    <w:rPr>
      <w:rFonts w:ascii="新細明體" w:eastAsia="新細明體" w:hAnsi="Times New Roman" w:cs="新細明體"/>
      <w:sz w:val="20"/>
      <w:szCs w:val="20"/>
    </w:rPr>
  </w:style>
  <w:style w:type="paragraph" w:customStyle="1" w:styleId="a">
    <w:name w:val="參考文獻"/>
    <w:basedOn w:val="a0"/>
    <w:next w:val="a0"/>
    <w:rsid w:val="00AA5729"/>
    <w:pPr>
      <w:numPr>
        <w:numId w:val="2"/>
      </w:numPr>
      <w:tabs>
        <w:tab w:val="num" w:pos="360"/>
      </w:tabs>
      <w:spacing w:line="240" w:lineRule="exact"/>
      <w:ind w:left="357" w:hanging="357"/>
    </w:pPr>
    <w:rPr>
      <w:rFonts w:ascii="Times New Roman" w:eastAsia="標楷體" w:hAnsi="Times New Roman" w:cs="Times New Roman"/>
      <w:sz w:val="20"/>
      <w:szCs w:val="24"/>
    </w:rPr>
  </w:style>
  <w:style w:type="paragraph" w:customStyle="1" w:styleId="Abstract">
    <w:name w:val="摘要(Abstract)"/>
    <w:rsid w:val="00AA5729"/>
    <w:pPr>
      <w:spacing w:line="480" w:lineRule="auto"/>
      <w:jc w:val="center"/>
    </w:pPr>
    <w:rPr>
      <w:rFonts w:ascii="Times New Roman" w:eastAsia="標楷體" w:hAnsi="Times New Roman" w:cs="Times New Roman"/>
      <w:b/>
      <w:szCs w:val="24"/>
    </w:rPr>
  </w:style>
  <w:style w:type="paragraph" w:customStyle="1" w:styleId="ad">
    <w:name w:val="論文內文"/>
    <w:basedOn w:val="a0"/>
    <w:rsid w:val="00AA5729"/>
    <w:pPr>
      <w:autoSpaceDN w:val="0"/>
      <w:spacing w:line="240" w:lineRule="exact"/>
      <w:jc w:val="both"/>
    </w:pPr>
    <w:rPr>
      <w:rFonts w:ascii="Times New Roman" w:eastAsia="標楷體" w:hAnsi="Times New Roman" w:cs="Times New Roman"/>
      <w:sz w:val="20"/>
      <w:szCs w:val="20"/>
    </w:rPr>
  </w:style>
  <w:style w:type="paragraph" w:styleId="ae">
    <w:name w:val="header"/>
    <w:basedOn w:val="a0"/>
    <w:link w:val="af"/>
    <w:uiPriority w:val="99"/>
    <w:unhideWhenUsed/>
    <w:rsid w:val="00BD60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1"/>
    <w:link w:val="ae"/>
    <w:uiPriority w:val="99"/>
    <w:rsid w:val="00BD60EC"/>
    <w:rPr>
      <w:sz w:val="20"/>
      <w:szCs w:val="20"/>
    </w:rPr>
  </w:style>
  <w:style w:type="paragraph" w:styleId="af0">
    <w:name w:val="footer"/>
    <w:basedOn w:val="a0"/>
    <w:link w:val="af1"/>
    <w:uiPriority w:val="99"/>
    <w:unhideWhenUsed/>
    <w:rsid w:val="00BD60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1"/>
    <w:link w:val="af0"/>
    <w:uiPriority w:val="99"/>
    <w:rsid w:val="00BD60E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9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6465</Words>
  <Characters>12694</Characters>
  <Application>Microsoft Office Word</Application>
  <DocSecurity>0</DocSecurity>
  <Lines>500</Lines>
  <Paragraphs>132</Paragraphs>
  <ScaleCrop>false</ScaleCrop>
  <Company/>
  <LinksUpToDate>false</LinksUpToDate>
  <CharactersWithSpaces>13652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端側柑橘病蟲害辨識與接地式診斷方法</dc:title>
  <dc:subject/>
  <dc:creator/>
  <cp:keywords/>
  <dc:description/>
  <cp:lastModifiedBy>蔡承諺</cp:lastModifiedBy>
  <cp:revision>2</cp:revision>
  <dcterms:created xsi:type="dcterms:W3CDTF">2026-09-25T08:47:00Z</dcterms:created>
  <dcterms:modified xsi:type="dcterms:W3CDTF">2026-09-25T08:47:00Z</dcterms:modified>
</cp:coreProperties>
</file>