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Aptos Display" w:hAnsi="Aptos Display"/>
          <w:b/>
          <w:color w:val="164334"/>
          <w:sz w:val="40"/>
        </w:rPr>
        <w:t>TENANCY AGREEMENT</w:t>
      </w:r>
    </w:p>
    <w:p>
      <w:pPr>
        <w:spacing w:after="140"/>
        <w:jc w:val="center"/>
      </w:pPr>
      <w:r>
        <w:rPr>
          <w:rFonts w:ascii="Aptos" w:hAnsi="Aptos"/>
          <w:i/>
          <w:color w:val="1F5D8C"/>
          <w:sz w:val="19"/>
        </w:rPr>
        <w:t>Residential tenancy for [[SUITE_NAME]]</w:t>
      </w:r>
    </w:p>
    <w:p>
      <w:pPr>
        <w:spacing w:after="80"/>
        <w:pBdr>
          <w:bottom w:val="single" w:sz="8" w:space="1" w:color="1F5D8C"/>
        </w:pBdr>
      </w:pPr>
    </w:p>
    <w:tbl>
      <w:tblPr>
        <w:tblW w:type="auto" w:w="0"/>
        <w:jc w:val="center"/>
        <w:tblLayout w:type="fixed"/>
        <w:tblLook w:firstColumn="1" w:firstRow="1" w:lastColumn="0" w:lastRow="0" w:noHBand="0" w:noVBand="1" w:val="04A0"/>
      </w:tblPr>
      <w:tblGrid>
        <w:gridCol w:w="5285"/>
        <w:gridCol w:w="5285"/>
      </w:tblGrid>
      <w:tr>
        <w:tc>
          <w:tcPr>
            <w:tcW w:type="dxa" w:w="2880"/>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Property / Suite</w:t>
            </w:r>
          </w:p>
        </w:tc>
        <w:tc>
          <w:tcPr>
            <w:tcW w:type="dxa" w:w="7056"/>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[[SUITE_NAME]]</w:t>
            </w:r>
          </w:p>
        </w:tc>
      </w:tr>
      <w:tr>
        <w:tc>
          <w:tcPr>
            <w:tcW w:type="dxa" w:w="2880"/>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Location</w:t>
            </w:r>
          </w:p>
        </w:tc>
        <w:tc>
          <w:tcPr>
            <w:tcW w:type="dxa" w:w="7056"/>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[[PROPERTY_LOCATION]]</w:t>
            </w:r>
          </w:p>
        </w:tc>
      </w:tr>
      <w:tr>
        <w:tc>
          <w:tcPr>
            <w:tcW w:type="dxa" w:w="2880"/>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Lease term</w:t>
            </w:r>
          </w:p>
        </w:tc>
        <w:tc>
          <w:tcPr>
            <w:tcW w:type="dxa" w:w="7056"/>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[[LEASE_TERM_LABEL]]</w:t>
            </w:r>
          </w:p>
        </w:tc>
      </w:tr>
      <w:tr>
        <w:tc>
          <w:tcPr>
            <w:tcW w:type="dxa" w:w="2880"/>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Agreement status</w:t>
            </w:r>
          </w:p>
        </w:tc>
        <w:tc>
          <w:tcPr>
            <w:tcW w:type="dxa" w:w="7056"/>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[[AGREEMENT_STATUS]]</w:t>
            </w:r>
          </w:p>
        </w:tc>
      </w:tr>
    </w:tbl>
    <w:p>
      <w:pPr>
        <w:keepNext/>
        <w:keepLines/>
        <w:spacing w:before="160" w:after="60"/>
      </w:pPr>
      <w:r>
        <w:rPr>
          <w:rFonts w:ascii="Aptos Display" w:hAnsi="Aptos Display"/>
          <w:b/>
          <w:color w:val="164334"/>
          <w:sz w:val="22"/>
        </w:rPr>
        <w:t>1. Parties</w:t>
      </w:r>
    </w:p>
    <w:p>
      <w:pPr>
        <w:spacing w:after="80" w:line="254" w:lineRule="auto"/>
      </w:pPr>
      <w:r>
        <w:rPr>
          <w:rFonts w:ascii="Aptos" w:hAnsi="Aptos"/>
          <w:color w:val="1C2722"/>
          <w:sz w:val="17"/>
        </w:rPr>
        <w:t>This Tenancy Agreement is made between Philip Boakye of P.O. Box CT 10792, Cantonments, Accra, Digital Address GW-0332-7210, Mobile 0244620860, operating under OneRoot Essentials (the “Landlord / Manager”), and the person identified below (the “Tenant”).</w:t>
      </w:r>
    </w:p>
    <w:tbl>
      <w:tblPr>
        <w:tblW w:type="auto" w:w="0"/>
        <w:jc w:val="center"/>
        <w:tblLook w:firstColumn="1" w:firstRow="1" w:lastColumn="0" w:lastRow="0" w:noHBand="0" w:noVBand="1" w:val="04A0"/>
      </w:tblPr>
      <w:tblGrid>
        <w:gridCol w:w="5285"/>
        <w:gridCol w:w="5285"/>
      </w:tblGrid>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Tenant full legal name</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[[TENANT_NAME]]</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Tenant address</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[[TENANT_ADDRESS]]</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Tenant mobile</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[[TENANT_PHONE]]</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Ghana Card / ID / Passport</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[[TENANT_ID_REF]]</w:t>
            </w:r>
          </w:p>
        </w:tc>
      </w:tr>
    </w:tbl>
    <w:p>
      <w:pPr>
        <w:keepNext/>
        <w:keepLines/>
        <w:spacing w:before="160" w:after="60"/>
      </w:pPr>
      <w:r>
        <w:rPr>
          <w:rFonts w:ascii="Aptos Display" w:hAnsi="Aptos Display"/>
          <w:b/>
          <w:color w:val="164334"/>
          <w:sz w:val="22"/>
        </w:rPr>
        <w:t>2. Premises, Term, And Permitted Use</w:t>
      </w:r>
    </w:p>
    <w:p>
      <w:pPr>
        <w:spacing w:after="80" w:line="254" w:lineRule="auto"/>
      </w:pPr>
      <w:r>
        <w:rPr>
          <w:rFonts w:ascii="Aptos" w:hAnsi="Aptos"/>
          <w:color w:val="1C2722"/>
          <w:sz w:val="17"/>
        </w:rPr>
        <w:t>The Landlord lets to the Tenant the residential apartment known as [[SUITE_NAME]] at [[PROPERTY_LOCATION]] (the “Premises”). The tenancy starts on [[COMMENCEMENT_DATE]] and ends on [[EXPIRY_DATE]], being [[LEASE_TERM_TEXT]], unless lawfully ended earlier. The Premises may be used only as a private residence. The Tenant may not sublet, assign, operate a business from, or materially alter the Premises without prior written consent.</w:t>
      </w:r>
    </w:p>
    <w:p>
      <w:pPr>
        <w:keepNext/>
        <w:keepLines/>
        <w:spacing w:before="160" w:after="60"/>
      </w:pPr>
      <w:r>
        <w:rPr>
          <w:rFonts w:ascii="Aptos Display" w:hAnsi="Aptos Display"/>
          <w:b/>
          <w:color w:val="164334"/>
          <w:sz w:val="22"/>
        </w:rPr>
        <w:t>3. Rent, Lawful Advance, And Receipts</w:t>
      </w:r>
    </w:p>
    <w:p>
      <w:pPr>
        <w:spacing w:after="80" w:line="254" w:lineRule="auto"/>
      </w:pPr>
      <w:r>
        <w:rPr>
          <w:rFonts w:ascii="Aptos" w:hAnsi="Aptos"/>
          <w:color w:val="1C2722"/>
          <w:sz w:val="17"/>
        </w:rPr>
        <w:t>The recorded rent plan is [[RENT_PLAN_SUMMARY]] The full saved cycle amount is [[CYCLE_RENT_TOTAL]]. The amount due as lawful advance before activation is [[ADVANCE_RENT_DUE]], subject always to the Rent Act, 1963 (Act 220), as amended. For a tenancy exceeding six months, the Landlord will not demand or collect more than six months’ rent in advance. Any excess paid must be applied to later rent periods or handled as required by law.</w:t>
      </w:r>
    </w:p>
    <w:p>
      <w:pPr>
        <w:spacing w:after="80" w:line="254" w:lineRule="auto"/>
      </w:pPr>
      <w:r>
        <w:rPr>
          <w:rFonts w:ascii="Aptos" w:hAnsi="Aptos"/>
          <w:color w:val="1C2722"/>
          <w:sz w:val="17"/>
        </w:rPr>
        <w:t>The Landlord / Manager must provide a written receipt for each rent payment showing the Premises, amount paid, payment period, and Tenant’s name. Payment details confirmed for this agreement are recorded in section 12 below.</w:t>
      </w:r>
    </w:p>
    <w:p>
      <w:pPr>
        <w:keepNext/>
        <w:keepLines/>
        <w:spacing w:before="160" w:after="60"/>
      </w:pPr>
      <w:r>
        <w:rPr>
          <w:rFonts w:ascii="Aptos Display" w:hAnsi="Aptos Display"/>
          <w:b/>
          <w:color w:val="164334"/>
          <w:sz w:val="22"/>
        </w:rPr>
        <w:t>4. Monthly Bills And Service Charges</w:t>
      </w:r>
    </w:p>
    <w:p>
      <w:pPr>
        <w:spacing w:after="80" w:line="254" w:lineRule="auto"/>
      </w:pPr>
      <w:r>
        <w:rPr>
          <w:rFonts w:ascii="Aptos" w:hAnsi="Aptos"/>
          <w:color w:val="1C2722"/>
          <w:sz w:val="17"/>
        </w:rPr>
        <w:t>Monthly utilities and services are separate from rent and are payable only when issued as an itemised bill or charge notice. The current monthly amount is [[MONTHLY_SERVICE_TOTAL]], payable through [[PAYMENT_CHANNEL]]. Charges presently recorded are:</w:t>
      </w:r>
    </w:p>
    <w:tbl>
      <w:tblPr>
        <w:tblStyle w:val="TableGrid"/>
        <w:tblW w:type="auto" w:w="0"/>
        <w:tblLook w:firstColumn="1" w:firstRow="1" w:lastColumn="0" w:lastRow="0" w:noHBand="0" w:noVBand="1" w:val="04A0"/>
      </w:tblPr>
      <w:tblGrid>
        <w:gridCol w:w="5285"/>
        <w:gridCol w:w="5285"/>
      </w:tblGrid>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val="0"/>
                <w:color w:val="164334"/>
                <w:sz w:val="17"/>
              </w:rPr>
              <w:t>Water and toilet fees</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[[WATER_TOILET_BILL]]</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val="0"/>
                <w:color w:val="164334"/>
                <w:sz w:val="17"/>
              </w:rPr>
              <w:t>Sweeping and gutter cleaning</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[[SWEEPING_BILL]]</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val="0"/>
                <w:color w:val="164334"/>
                <w:sz w:val="17"/>
              </w:rPr>
              <w:t>Waste management</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[[WASTE_BILL]]</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val="0"/>
                <w:color w:val="164334"/>
                <w:sz w:val="17"/>
              </w:rPr>
              <w:t>Other saved charges</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[[CUSTOM_BILL_ITEMS_NOTE]]</w:t>
            </w:r>
          </w:p>
        </w:tc>
      </w:tr>
      <w:tr>
        <w:tc>
          <w:tcPr>
            <w:tcW w:type="dxa" w:w="5285"/>
            <w:shd w:fill="DDEBE0"/>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Total monthly service charges</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sz w:val="17"/>
              </w:rPr>
              <w:t>[[MONTHLY_SERVICE_TOTAL]]</w:t>
            </w:r>
          </w:p>
        </w:tc>
      </w:tr>
    </w:tbl>
    <w:p>
      <w:pPr>
        <w:spacing w:after="80" w:line="254" w:lineRule="auto"/>
      </w:pPr>
      <w:r>
        <w:rPr>
          <w:rFonts w:ascii="Aptos" w:hAnsi="Aptos"/>
          <w:color w:val="1C2722"/>
          <w:sz w:val="17"/>
        </w:rPr>
        <w:t>Any change to a recurring bill or service charge must be notified in writing with a clear basis and effective date. The Tenant should retain the payment receipt or transfer reference for each payment.</w:t>
      </w:r>
    </w:p>
    <w:p>
      <w:pPr>
        <w:keepNext/>
        <w:keepLines/>
        <w:spacing w:before="160" w:after="60"/>
      </w:pPr>
      <w:r>
        <w:rPr>
          <w:rFonts w:ascii="Aptos Display" w:hAnsi="Aptos Display"/>
          <w:b/>
          <w:color w:val="164334"/>
          <w:sz w:val="22"/>
        </w:rPr>
        <w:t>5. Deposit, Condition, And Inventory</w:t>
      </w:r>
    </w:p>
    <w:p>
      <w:pPr>
        <w:spacing w:after="80" w:line="254" w:lineRule="auto"/>
      </w:pPr>
      <w:r>
        <w:rPr>
          <w:rFonts w:ascii="Aptos" w:hAnsi="Aptos"/>
          <w:color w:val="1C2722"/>
          <w:sz w:val="17"/>
        </w:rPr>
        <w:t>Any security deposit is held separately from rent and may be applied only to documented unpaid lawful charges, missing inventory items, or damage beyond fair wear and tear. At move-in, the parties should sign the condition and inventory schedule, including keys, meter readings, fixtures, and any bed or mattress supplied. At move-out, deductions must be itemised and explained to the Tenant.</w:t>
      </w:r>
    </w:p>
    <w:p>
      <w:pPr>
        <w:keepNext/>
        <w:keepLines/>
        <w:spacing w:before="160" w:after="60"/>
      </w:pPr>
      <w:r>
        <w:rPr>
          <w:rFonts w:ascii="Aptos Display" w:hAnsi="Aptos Display"/>
          <w:b/>
          <w:color w:val="164334"/>
          <w:sz w:val="22"/>
        </w:rPr>
        <w:t>6. Care, Conduct, And Safety</w:t>
      </w:r>
    </w:p>
    <w:p>
      <w:pPr>
        <w:pStyle w:val="ListBullet"/>
        <w:spacing w:after="20"/>
        <w:ind w:left="317"/>
      </w:pPr>
      <w:r>
        <w:rPr>
          <w:rFonts w:ascii="Aptos" w:hAnsi="Aptos"/>
          <w:sz w:val="17"/>
        </w:rPr>
        <w:t>The Tenant must keep the Premises and immediate surroundings reasonably clean and cooperate with property sanitation and waste-management arrangements.</w:t>
      </w:r>
    </w:p>
    <w:p>
      <w:pPr>
        <w:pStyle w:val="ListBullet"/>
        <w:spacing w:after="20"/>
        <w:ind w:left="317"/>
      </w:pPr>
      <w:r>
        <w:rPr>
          <w:rFonts w:ascii="Aptos" w:hAnsi="Aptos"/>
          <w:sz w:val="17"/>
        </w:rPr>
        <w:t>Gas cylinders must remain in the designated external compartment and must not be stored in the bedroom or kitchen.</w:t>
      </w:r>
    </w:p>
    <w:p>
      <w:pPr>
        <w:pStyle w:val="ListBullet"/>
        <w:spacing w:after="20"/>
        <w:ind w:left="317"/>
      </w:pPr>
      <w:r>
        <w:rPr>
          <w:rFonts w:ascii="Aptos" w:hAnsi="Aptos"/>
          <w:sz w:val="17"/>
        </w:rPr>
        <w:t>No pets, indoor smoking, excessive noise, nuisance, dangerous or disorderly conduct, or activity that disturbs neighbours is allowed.</w:t>
      </w:r>
    </w:p>
    <w:p>
      <w:pPr>
        <w:pStyle w:val="ListBullet"/>
        <w:spacing w:after="20"/>
        <w:ind w:left="317"/>
      </w:pPr>
      <w:r>
        <w:rPr>
          <w:rFonts w:ascii="Aptos" w:hAnsi="Aptos"/>
          <w:sz w:val="17"/>
        </w:rPr>
        <w:t>The Tenant must keep the main gate locked and notify the Landlord / Manager of any extended occupancy, lost keys, or security concern.</w:t>
      </w:r>
    </w:p>
    <w:p>
      <w:pPr>
        <w:pStyle w:val="ListBullet"/>
        <w:spacing w:after="20"/>
        <w:ind w:left="317"/>
      </w:pPr>
      <w:r>
        <w:rPr>
          <w:rFonts w:ascii="Aptos" w:hAnsi="Aptos"/>
          <w:sz w:val="17"/>
        </w:rPr>
        <w:t>The Tenant must not drill, paint, alter fixtures, or make structural or cosmetic changes without prior written consent.</w:t>
      </w:r>
    </w:p>
    <w:p>
      <w:pPr>
        <w:keepNext/>
        <w:keepLines/>
        <w:spacing w:before="160" w:after="60"/>
      </w:pPr>
      <w:r>
        <w:rPr>
          <w:rFonts w:ascii="Aptos Display" w:hAnsi="Aptos Display"/>
          <w:b/>
          <w:color w:val="164334"/>
          <w:sz w:val="22"/>
        </w:rPr>
        <w:t>7. Repairs, Maintenance, And Access</w:t>
      </w:r>
    </w:p>
    <w:p>
      <w:pPr>
        <w:spacing w:after="80" w:line="254" w:lineRule="auto"/>
      </w:pPr>
      <w:r>
        <w:rPr>
          <w:rFonts w:ascii="Aptos" w:hAnsi="Aptos"/>
          <w:color w:val="1C2722"/>
          <w:sz w:val="17"/>
        </w:rPr>
        <w:t>The Landlord is responsible for structural safety and maintenance not caused by the Tenant’s misuse or neglect. The Tenant is responsible for promptly reporting defects and for damage caused by the Tenant, occupants, or guests beyond fair wear and tear. Non-urgent matters may be reported by WhatsApp or text. Urgent water leaks, electrical faults, fire, or safety risks must be reported immediately.</w:t>
      </w:r>
    </w:p>
    <w:p>
      <w:pPr>
        <w:spacing w:after="80" w:line="254" w:lineRule="auto"/>
      </w:pPr>
      <w:r>
        <w:rPr>
          <w:rFonts w:ascii="Aptos" w:hAnsi="Aptos"/>
          <w:color w:val="1C2722"/>
          <w:sz w:val="17"/>
        </w:rPr>
        <w:t>Except in an emergency, for agreed repairs, or where entry is authorised by law, the Landlord will give reasonable advance notice before entering the Premises. The Tenant will allow access at a reasonable time for inspection and necessary repair. Approved providers may be used for electrical, plumbing, or other specialist work; no unauthorised work is to be commissioned where it could affect the property.</w:t>
      </w:r>
    </w:p>
    <w:p>
      <w:pPr>
        <w:keepNext/>
        <w:keepLines/>
        <w:spacing w:before="160" w:after="60"/>
      </w:pPr>
      <w:r>
        <w:rPr>
          <w:rFonts w:ascii="Aptos Display" w:hAnsi="Aptos Display"/>
          <w:b/>
          <w:color w:val="164334"/>
          <w:sz w:val="22"/>
        </w:rPr>
        <w:t>8. Rent Review, Renewal, And Notices</w:t>
      </w:r>
    </w:p>
    <w:p>
      <w:pPr>
        <w:spacing w:after="80" w:line="254" w:lineRule="auto"/>
      </w:pPr>
      <w:r>
        <w:rPr>
          <w:rFonts w:ascii="Aptos" w:hAnsi="Aptos"/>
          <w:color w:val="1C2722"/>
          <w:sz w:val="17"/>
        </w:rPr>
        <w:t>A rent review or increase must be communicated in writing and must follow applicable Ghanaian law and any Rent Control process. This fixed term ends on the stated expiry date unless renewed in writing or otherwise continued under Ghanaian law. Either party may give written notice of proposed non-renewal or early termination, but no notice under this agreement shortens a longer notice period required by law.</w:t>
      </w:r>
    </w:p>
    <w:p>
      <w:pPr>
        <w:keepNext/>
        <w:keepLines/>
        <w:spacing w:before="160" w:after="60"/>
      </w:pPr>
      <w:r>
        <w:rPr>
          <w:rFonts w:ascii="Aptos Display" w:hAnsi="Aptos Display"/>
          <w:b/>
          <w:color w:val="164334"/>
          <w:sz w:val="22"/>
        </w:rPr>
        <w:t>9. Possession And Disputes</w:t>
      </w:r>
    </w:p>
    <w:p>
      <w:pPr>
        <w:spacing w:after="80" w:line="254" w:lineRule="auto"/>
      </w:pPr>
      <w:r>
        <w:rPr>
          <w:rFonts w:ascii="Aptos" w:hAnsi="Aptos"/>
          <w:color w:val="1C2722"/>
          <w:sz w:val="17"/>
        </w:rPr>
        <w:t>The Landlord may not lock out the Tenant, remove the Tenant’s belongings, disconnect essential services, or recover possession except through the lawful process. The parties will first attempt to resolve concerns respectfully in writing. If unresolved, either party may refer the matter to the Rent Control Department, use a lawful alternative dispute-resolution process, or seek the appropriate court remedy. This agreement is governed by the laws of the Republic of Ghana. A term inconsistent with mandatory law is adjusted only to the extent necessary and does not affect the rest of the agreement.</w:t>
      </w:r>
    </w:p>
    <w:p>
      <w:pPr>
        <w:keepNext/>
        <w:keepLines/>
        <w:spacing w:before="160" w:after="60"/>
      </w:pPr>
      <w:r>
        <w:rPr>
          <w:rFonts w:ascii="Aptos Display" w:hAnsi="Aptos Display"/>
          <w:b/>
          <w:color w:val="164334"/>
          <w:sz w:val="22"/>
        </w:rPr>
        <w:t>10. Communication</w:t>
      </w:r>
    </w:p>
    <w:p>
      <w:pPr>
        <w:spacing w:after="80" w:line="254" w:lineRule="auto"/>
      </w:pPr>
      <w:r>
        <w:rPr>
          <w:rFonts w:ascii="Aptos" w:hAnsi="Aptos"/>
          <w:color w:val="1C2722"/>
          <w:sz w:val="17"/>
        </w:rPr>
        <w:t>Routine non-urgent communication may be sent by WhatsApp or text to the phone numbers supplied by the parties. The Tenant must provide prompt written notice of a changed mobile number or address. Formal statutory notices must be served in the manner required by Ghanaian law.</w:t>
      </w:r>
    </w:p>
    <w:p>
      <w:pPr>
        <w:keepNext/>
        <w:keepLines/>
        <w:spacing w:before="160" w:after="60"/>
      </w:pPr>
      <w:r>
        <w:rPr>
          <w:rFonts w:ascii="Aptos Display" w:hAnsi="Aptos Display"/>
          <w:b/>
          <w:color w:val="164334"/>
          <w:sz w:val="22"/>
        </w:rPr>
        <w:t>11. Entire Agreement</w:t>
      </w:r>
    </w:p>
    <w:p>
      <w:pPr>
        <w:spacing w:after="80" w:line="254" w:lineRule="auto"/>
      </w:pPr>
      <w:r>
        <w:rPr>
          <w:rFonts w:ascii="Aptos" w:hAnsi="Aptos"/>
          <w:color w:val="1C2722"/>
          <w:sz w:val="17"/>
        </w:rPr>
        <w:t>This agreement, the signed payment schedule, and the signed move-in condition / inventory schedule record the parties’ agreement about the tenancy. A change is valid only if recorded in writing and signed or otherwise legally accepted by both parties. Nothing in this agreement removes a right or protection that Ghanaian law gives either party.</w:t>
      </w:r>
    </w:p>
    <w:p>
      <w:pPr>
        <w:keepNext/>
        <w:keepLines/>
        <w:spacing w:before="160" w:after="60"/>
      </w:pPr>
      <w:r>
        <w:rPr>
          <w:rFonts w:ascii="Aptos Display" w:hAnsi="Aptos Display"/>
          <w:b/>
          <w:color w:val="164334"/>
          <w:sz w:val="22"/>
        </w:rPr>
        <w:t>12. Payment Confirmation</w:t>
      </w:r>
    </w:p>
    <w:tbl>
      <w:tblPr>
        <w:tblW w:type="auto" w:w="0"/>
        <w:tblLook w:firstColumn="1" w:firstRow="1" w:lastColumn="0" w:lastRow="0" w:noHBand="0" w:noVBand="1" w:val="04A0"/>
      </w:tblPr>
      <w:tblGrid>
        <w:gridCol w:w="5285"/>
        <w:gridCol w:w="5285"/>
      </w:tblGrid>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Amount received</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[[AMOUNT_RECEIVED]]</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Payment date</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[[PAYMENT_DATE]]</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Payment method</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[[PAYMENT_METHOD]]</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Reference / transaction ID</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[[PAYMENT_REFERENCE]]</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Received by</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[[RECEIVED_BY]]</w:t>
            </w:r>
          </w:p>
        </w:tc>
      </w:tr>
      <w:tr>
        <w:tc>
          <w:tcPr>
            <w:tcW w:type="dxa" w:w="5285"/>
            <w:shd w:fill="EEF3EF"/>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Agreement effective from</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[[AGREEMENT_EFFECTIVE_FROM]]</w:t>
            </w:r>
          </w:p>
        </w:tc>
      </w:tr>
    </w:tbl>
    <w:p>
      <w:pPr>
        <w:keepNext/>
        <w:keepLines/>
        <w:spacing w:before="160" w:after="60"/>
      </w:pPr>
      <w:r>
        <w:rPr>
          <w:rFonts w:ascii="Aptos Display" w:hAnsi="Aptos Display"/>
          <w:b/>
          <w:color w:val="164334"/>
          <w:sz w:val="22"/>
        </w:rPr>
        <w:t>13. Signatures</w:t>
      </w:r>
    </w:p>
    <w:p>
      <w:pPr>
        <w:spacing w:after="80" w:line="254" w:lineRule="auto"/>
      </w:pPr>
      <w:r>
        <w:rPr>
          <w:rFonts w:ascii="Aptos" w:hAnsi="Aptos"/>
          <w:color w:val="1C2722"/>
          <w:sz w:val="17"/>
        </w:rPr>
        <w:t>Signed by the parties on the dates below. Each party should retain a complete signed copy of this agreement and its schedules.</w:t>
      </w:r>
    </w:p>
    <w:tbl>
      <w:tblPr>
        <w:tblW w:type="auto" w:w="0"/>
        <w:tblLook w:firstColumn="1" w:firstRow="1" w:lastColumn="0" w:lastRow="0" w:noHBand="0" w:noVBand="1" w:val="04A0"/>
      </w:tblPr>
      <w:tblGrid>
        <w:gridCol w:w="5285"/>
        <w:gridCol w:w="5285"/>
      </w:tblGrid>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Landlord / Manager</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Tenant</w:t>
            </w:r>
          </w:p>
        </w:tc>
      </w:tr>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Signature: ____________________________________</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Signature: ____________________________________</w:t>
            </w:r>
          </w:p>
        </w:tc>
      </w:tr>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Name: Philip Boakye</w:t>
              <w:br/>
              <w:t>Date: ________________________________________</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Name: [[TENANT_NAME]]</w:t>
              <w:br/>
              <w:t>Date: ________________________________________</w:t>
            </w:r>
          </w:p>
        </w:tc>
      </w:tr>
    </w:tbl>
    <w:p>
      <w:pPr>
        <w:keepNext/>
        <w:keepLines/>
        <w:spacing w:before="160" w:after="60"/>
      </w:pPr>
      <w:r>
        <w:rPr>
          <w:rFonts w:ascii="Aptos Display" w:hAnsi="Aptos Display"/>
          <w:b/>
          <w:color w:val="164334"/>
          <w:sz w:val="22"/>
        </w:rPr>
        <w:t>14. Witnesses</w:t>
      </w:r>
    </w:p>
    <w:tbl>
      <w:tblPr>
        <w:tblW w:type="auto" w:w="0"/>
        <w:tblLook w:firstColumn="1" w:firstRow="1" w:lastColumn="0" w:lastRow="0" w:noHBand="0" w:noVBand="1" w:val="04A0"/>
      </w:tblPr>
      <w:tblGrid>
        <w:gridCol w:w="5285"/>
        <w:gridCol w:w="5285"/>
      </w:tblGrid>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Witness for Landlord / Manager</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color w:val="164334"/>
                <w:sz w:val="17"/>
              </w:rPr>
              <w:t>Witness for Tenant</w:t>
            </w:r>
          </w:p>
        </w:tc>
      </w:tr>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Name: ________________________________________</w:t>
              <w:br/>
              <w:t>Address / Phone: ______________________________</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Name: ________________________________________</w:t>
              <w:br/>
              <w:t>Address / Phone: ______________________________</w:t>
            </w:r>
          </w:p>
        </w:tc>
      </w:tr>
      <w:tr>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Signature: ____________________________________</w:t>
              <w:br/>
              <w:t>Date: _________________________________________</w:t>
            </w:r>
          </w:p>
        </w:tc>
        <w:tc>
          <w:tcPr>
            <w:tcW w:type="dxa" w:w="5285"/>
            <w:vAlign w:val="center"/>
            <w:tcBorders>
              <w:top w:val="single" w:sz="4" w:color="C9D6CC"/>
              <w:left w:val="single" w:sz="4" w:color="C9D6CC"/>
              <w:bottom w:val="single" w:sz="4" w:color="C9D6CC"/>
              <w:right w:val="single" w:sz="4" w:color="C9D6CC"/>
            </w:tcBorders>
          </w:tcPr>
          <w:p>
            <w:pPr>
              <w:spacing w:after="0"/>
            </w:pPr>
            <w:r/>
            <w:r>
              <w:rPr>
                <w:rFonts w:ascii="Aptos" w:hAnsi="Aptos"/>
                <w:b w:val="0"/>
                <w:sz w:val="17"/>
              </w:rPr>
              <w:t>Signature: ____________________________________</w:t>
              <w:br/>
              <w:t>Date: _________________________________________</w:t>
            </w:r>
          </w:p>
        </w:tc>
      </w:tr>
    </w:tbl>
    <w:p>
      <w:pPr>
        <w:spacing w:before="120" w:after="0"/>
      </w:pPr>
      <w:r>
        <w:rPr>
          <w:rFonts w:ascii="Aptos" w:hAnsi="Aptos"/>
          <w:i/>
          <w:color w:val="53605A"/>
          <w:sz w:val="15"/>
        </w:rPr>
        <w:t>Practical legal review note: This OneRoot template is a starting point for a particular property and transaction. Obtain Rent Control Department or qualified Ghanaian legal review before signing.</w:t>
      </w:r>
    </w:p>
    <w:sectPr w:rsidR="00FC693F" w:rsidRPr="0006063C" w:rsidSect="00034616">
      <w:headerReference w:type="default" r:id="rId9"/>
      <w:footerReference w:type="default" r:id="rId10"/>
      <w:pgSz w:w="12240" w:h="15840"/>
      <w:pgMar w:top="648" w:right="835" w:bottom="749"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3605A"/>
        <w:sz w:val="15"/>
      </w:rPr>
      <w:t>OneRoot Tenancy Agreement | Keep a signed copy with the payment schedule and condition inventory.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ptos" w:hAnsi="Aptos"/>
        <w:b/>
        <w:color w:val="164334"/>
        <w:sz w:val="16"/>
      </w:rPr>
      <w:t>ONEROOT ESSENTIALS | RENTALS &amp; APARTMENTS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Aptos" w:hAnsi="Aptos"/>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