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6"/>
        </w:rPr>
        <w:t>FLEXEE CF and CF+ Warm-Up Architecture</w:t>
      </w:r>
    </w:p>
    <w:p>
      <w:pPr>
        <w:spacing w:after="80"/>
        <w:jc w:val="center"/>
      </w:pPr>
      <w:r>
        <w:rPr>
          <w:b w:val="0"/>
          <w:i/>
          <w:sz w:val="24"/>
        </w:rPr>
        <w:t>Design memo</w:t>
      </w:r>
    </w:p>
    <w:p>
      <w:pPr>
        <w:spacing w:after="360"/>
        <w:jc w:val="center"/>
      </w:pPr>
      <w:r>
        <w:rPr>
          <w:b w:val="0"/>
          <w:i w:val="0"/>
          <w:sz w:val="20"/>
        </w:rPr>
        <w:t>One Smarter, Inc.   |   June 29, 2026</w:t>
      </w:r>
    </w:p>
    <w:p>
      <w:pPr>
        <w:spacing w:before="200" w:after="80"/>
      </w:pPr>
      <w:r>
        <w:rPr>
          <w:b/>
          <w:sz w:val="26"/>
        </w:rPr>
        <w:t>Purpose</w:t>
      </w:r>
    </w:p>
    <w:p>
      <w:pPr>
        <w:spacing w:after="120"/>
      </w:pPr>
      <w:r>
        <w:rPr>
          <w:b w:val="0"/>
          <w:i w:val="0"/>
          <w:sz w:val="22"/>
        </w:rPr>
        <w:t>This memo captures the architectural decisions for the CF and CF+ simulation warm-up period. The decisions documented here resolve open questions surfaced during UAT and prior design conversations, and they reference the SCM simulation's existing warm-up implementation as the architectural template. The memo is the authoritative source for the warm-up behavior. Implementation in the CF codebase follows from these decisions.</w:t>
      </w:r>
    </w:p>
    <w:p>
      <w:pPr>
        <w:spacing w:before="200" w:after="80"/>
      </w:pPr>
      <w:r>
        <w:rPr>
          <w:b/>
          <w:sz w:val="26"/>
        </w:rPr>
        <w:t>Naming and scope</w:t>
      </w:r>
    </w:p>
    <w:p>
      <w:pPr>
        <w:spacing w:after="120"/>
      </w:pPr>
      <w:r>
        <w:rPr>
          <w:b w:val="0"/>
          <w:i w:val="0"/>
          <w:sz w:val="22"/>
        </w:rPr>
        <w:t>The simulation family uses two product tiers, CF and CF+. CF is the accounting simulation. CF+ is the adversarial extension. There is no separate FA variant; the names FA and CF have been used interchangeably in prior conversations and are now standardized as CF. The decisions in this memo apply to CF Manufacturing and inherit downward to CF+ Manufacturing. Services and Data Centers variants will follow the same pattern when those engagements begin.</w:t>
      </w:r>
    </w:p>
    <w:p>
      <w:pPr>
        <w:spacing w:before="200" w:after="80"/>
      </w:pPr>
      <w:r>
        <w:rPr>
          <w:b/>
          <w:sz w:val="26"/>
        </w:rPr>
        <w:t>The warm-up principle</w:t>
      </w:r>
    </w:p>
    <w:p>
      <w:pPr>
        <w:spacing w:after="120"/>
      </w:pPr>
      <w:r>
        <w:rPr>
          <w:b w:val="0"/>
          <w:i w:val="0"/>
          <w:sz w:val="22"/>
        </w:rPr>
        <w:t>Students enter the CF simulation at Quarter 4 with three quarters of operating history already produced by the simulation engine. They inherit financial statements for Quarters 1 through 3 as read-only history. They do not make decisions in those quarters. The warm-up period exists so that students have data to analyze before they begin making their own decisions. This addresses the pedagogical gap in the current implementation, which places students into the simulation at Quarter 1 with no prior context and no statements to interpret.</w:t>
      </w:r>
    </w:p>
    <w:p>
      <w:pPr>
        <w:spacing w:before="200" w:after="80"/>
      </w:pPr>
      <w:r>
        <w:rPr>
          <w:b/>
          <w:sz w:val="26"/>
        </w:rPr>
        <w:t>Decision categories</w:t>
      </w:r>
    </w:p>
    <w:p>
      <w:pPr>
        <w:spacing w:after="120"/>
      </w:pPr>
      <w:r>
        <w:rPr>
          <w:b w:val="0"/>
          <w:i w:val="0"/>
          <w:sz w:val="22"/>
        </w:rPr>
        <w:t>The CF simulation retains all nine decision categories present in the current code base. These are forecasting, sourcing, pricing, production, marketing, quality, logistics, notes elections, and certification. The category set already represents pruning of the broader SCM decision set, where additional concerns including postponed production, distribution centers, transportation modes, warranty, and service management create complexity that is unnecessary for accounting pedagogy. The current nine categories are the right balance between richness in financial statements and focused decision-making for accounting students.</w:t>
      </w:r>
    </w:p>
    <w:p>
      <w:pPr>
        <w:spacing w:before="200" w:after="80"/>
      </w:pPr>
      <w:r>
        <w:rPr>
          <w:b/>
          <w:sz w:val="26"/>
        </w:rPr>
        <w:t>Warm-up duration</w:t>
      </w:r>
    </w:p>
    <w:p>
      <w:pPr>
        <w:spacing w:after="120"/>
      </w:pPr>
      <w:r>
        <w:rPr>
          <w:b w:val="0"/>
          <w:i w:val="0"/>
          <w:sz w:val="22"/>
        </w:rPr>
        <w:t>The warm-up period is fixed at three quarters. Faculty cannot extend or shorten it. The simulation auto-runs Quarter 1, Quarter 2, and Quarter 3 using the warm-up logic described below. Students take control at Quarter 4. Faculty controls the total number of decision quarters in the simulation, the dates of each decision quarter, and the number of days between decisions. These controls match the existing SCM faculty interface and are preserved unchanged.</w:t>
      </w:r>
    </w:p>
    <w:p>
      <w:pPr>
        <w:spacing w:before="200" w:after="80"/>
      </w:pPr>
      <w:r>
        <w:rPr>
          <w:b/>
          <w:sz w:val="26"/>
        </w:rPr>
        <w:t>Quarter 0 opening position</w:t>
      </w:r>
    </w:p>
    <w:p>
      <w:pPr>
        <w:spacing w:after="120"/>
      </w:pPr>
      <w:r>
        <w:rPr>
          <w:b w:val="0"/>
          <w:i w:val="0"/>
          <w:sz w:val="22"/>
        </w:rPr>
        <w:t>Quarter 0 represents the firm's startup phase before any operations. It exists internally as the simulation's opening balance sheet but is never shown to students or faculty. Quarter 0 values are fixed across all CF courses ever created. The opening position uses the same values as the SCM simulation. Cash is 100,000. Plant Investment is 100,000,000. Total Assets are 100,100,000. On the liabilities and equity side, Corporate Capitalization is 100,000,000 and total Liabilities plus Equity sum to 100,100,000. The opening position balances by construction. There are no loans, no inventory, and no retained earnings at Quarter 0. The simulation produces Quarter 1 by applying randomized demand to the Quarter 0 position and running the engine forward.</w:t>
      </w:r>
    </w:p>
    <w:p>
      <w:pPr>
        <w:spacing w:before="200" w:after="80"/>
      </w:pPr>
      <w:r>
        <w:rPr>
          <w:b/>
          <w:sz w:val="26"/>
        </w:rPr>
        <w:t>Randomization model</w:t>
      </w:r>
    </w:p>
    <w:p>
      <w:pPr>
        <w:spacing w:after="120"/>
      </w:pPr>
      <w:r>
        <w:rPr>
          <w:b w:val="0"/>
          <w:i w:val="0"/>
          <w:sz w:val="22"/>
        </w:rPr>
        <w:t>Each firm in a CF course receives a slightly different Quarter 1 through Quarter 3 history. The randomization is applied to demand only. Opening balance sheet values stay deterministic. The randomization uses a normal distribution with mean 2 percent and standard deviation 0.25 percent, implemented via the Box-Muller transform exactly as SCM implements it in GenerateDemandService::randomNumber. The growth factor is centered around 1.02. Approximately 99.7 percent of generated values fall between 1.012 and 1.028, giving each firm a different but bounded demand trajectory.</w:t>
      </w:r>
    </w:p>
    <w:p>
      <w:pPr>
        <w:spacing w:after="120"/>
      </w:pPr>
      <w:r>
        <w:rPr>
          <w:b w:val="0"/>
          <w:i w:val="0"/>
          <w:sz w:val="22"/>
        </w:rPr>
        <w:t>Randomization happens fresh at each course instance. A faculty member creating CF Course 01 today produces one set of warm-up histories. The same faculty creating CF Course 02 tomorrow with the same scenario produces a different set. This prevents students from sharing answers between courses while keeping the simulation reproducible within a course.</w:t>
      </w:r>
    </w:p>
    <w:p>
      <w:pPr>
        <w:spacing w:before="200" w:after="80"/>
      </w:pPr>
      <w:r>
        <w:rPr>
          <w:b/>
          <w:sz w:val="26"/>
        </w:rPr>
        <w:t>Decision activation progression</w:t>
      </w:r>
    </w:p>
    <w:p>
      <w:pPr>
        <w:spacing w:after="120"/>
      </w:pPr>
      <w:r>
        <w:rPr>
          <w:b w:val="0"/>
          <w:i w:val="0"/>
          <w:sz w:val="22"/>
        </w:rPr>
        <w:t>After the warm-up period ends, faculty controls which decision categories are active in each student-controlled quarter. Decisions are added incrementally as the course progresses. Once a decision category is enabled, it cannot be disabled later in the same simulation. The activation is monotonic. This prevents students from losing access to a decision they previously made and protects the audit trail of past decisions.</w:t>
      </w:r>
    </w:p>
    <w:p>
      <w:pPr>
        <w:spacing w:after="120"/>
      </w:pPr>
      <w:r>
        <w:rPr>
          <w:b w:val="0"/>
          <w:i w:val="0"/>
          <w:sz w:val="22"/>
        </w:rPr>
        <w:t>At Quarter 4, the first student-controlled quarter, three categories must be enabled at minimum. These are forecasting, procurement, and production. Faculty may enable additional categories at Quarter 4 or in any later quarter, subject to the no-disabling rule above. The three required categories ensure that students engage with the core operating decisions that drive accounting consequences from the moment they take control.</w:t>
      </w:r>
    </w:p>
    <w:p>
      <w:pPr>
        <w:spacing w:before="200" w:after="80"/>
      </w:pPr>
      <w:r>
        <w:rPr>
          <w:b/>
          <w:sz w:val="26"/>
        </w:rPr>
        <w:t>Simulation-derived decisions</w:t>
      </w:r>
    </w:p>
    <w:p>
      <w:pPr>
        <w:spacing w:after="120"/>
      </w:pPr>
      <w:r>
        <w:rPr>
          <w:b w:val="0"/>
          <w:i w:val="0"/>
          <w:sz w:val="22"/>
        </w:rPr>
        <w:t>Decision categories not yet enabled by faculty are filled in by the simulation. For each non-enabled category, the simulation derives a safe default from the student's enabled decisions. The default is the middle option from the available choices, never the highest cost or lowest cost extreme. For categorical decisions such as quality inspection level or logistics mode, the middle option is selected directly. For numerical decisions, the value is derived from the student's enabled inputs. For example, if forecasting and production are enabled but procurement is not, the simulation will compute procurement based on the production volume the student selected.</w:t>
      </w:r>
    </w:p>
    <w:p>
      <w:pPr>
        <w:spacing w:after="120"/>
      </w:pPr>
      <w:r>
        <w:rPr>
          <w:b w:val="0"/>
          <w:i w:val="0"/>
          <w:sz w:val="22"/>
        </w:rPr>
        <w:t>This derivation logic means that when faculty later enables a previously simulation-controlled category, the student begins from the current sim-derived state and makes changes from there. Students see what the simulation chose for them in past quarters as part of the locked history. They cannot revise those past choices. Going forward, they can adjust the now-enabled category in any direction permitted by the scenario.</w:t>
      </w:r>
    </w:p>
    <w:p>
      <w:pPr>
        <w:spacing w:before="200" w:after="80"/>
      </w:pPr>
      <w:r>
        <w:rPr>
          <w:b/>
          <w:sz w:val="26"/>
        </w:rPr>
        <w:t>Statement production during warm-up</w:t>
      </w:r>
    </w:p>
    <w:p>
      <w:pPr>
        <w:spacing w:after="120"/>
      </w:pPr>
      <w:r>
        <w:rPr>
          <w:b w:val="0"/>
          <w:i w:val="0"/>
          <w:sz w:val="22"/>
        </w:rPr>
        <w:t>The warm-up period produces complete financial statements separately for Quarter 1, Quarter 2, and Quarter 3. Each quarter has its own income statement, balance sheet, cash flow statement, and notes. Students inherit three discrete sets of statements when they enter at Quarter 4, not a single combined summary. This gives students enough history to identify trends, compare quarter over quarter performance, and form analytical observations before they make their own decisions. The statements are presented as read-only history on the firm's dashboard. Students cannot edit the inherited statements. The same set of supplementary reports that the SCM simulation generates after each closed quarter will be considered for inclusion in CF. The exact list of reports to include is deferred to implementation planning.</w:t>
      </w:r>
    </w:p>
    <w:p>
      <w:pPr>
        <w:spacing w:before="200" w:after="80"/>
      </w:pPr>
      <w:r>
        <w:rPr>
          <w:b/>
          <w:sz w:val="26"/>
        </w:rPr>
        <w:t>Architectural pattern from SCM</w:t>
      </w:r>
    </w:p>
    <w:p>
      <w:pPr>
        <w:spacing w:after="120"/>
      </w:pPr>
      <w:r>
        <w:rPr>
          <w:b w:val="0"/>
          <w:i w:val="0"/>
          <w:sz w:val="22"/>
        </w:rPr>
        <w:t>The implementation follows the pattern established in the SCM codebase. Scenario-defined source data is held in tables that mirror the student decision tables. An initialization job runs when a course is created. The job copies the scenario source data into student-owned decision tables for Quarter 1 through Quarter 3, applying randomization where appropriate. The simulation engine then runs against those tables in the same way it runs against student-entered decisions in subsequent quarters. There is no separate warm-up engine. The same calculation logic produces both the auto-generated history and the live student-driven results.</w:t>
      </w:r>
    </w:p>
    <w:p>
      <w:pPr>
        <w:spacing w:after="120"/>
      </w:pPr>
      <w:r>
        <w:rPr>
          <w:b w:val="0"/>
          <w:i w:val="0"/>
          <w:sz w:val="22"/>
        </w:rPr>
        <w:t>Per-student or per-firm ownership is determined by the existing SCM pattern, with appropriate adjustments. SCM assigns initialization data per student team member. CF will assign initialization data per firm since multiple students share a firm in CF courses. The exact ownership semantics will be confirmed during implementation against the existing CF firm and team data model.</w:t>
      </w:r>
    </w:p>
    <w:p>
      <w:pPr>
        <w:spacing w:before="200" w:after="80"/>
      </w:pPr>
      <w:r>
        <w:rPr>
          <w:b/>
          <w:sz w:val="26"/>
        </w:rPr>
        <w:t>What is explicitly out of scope for this memo</w:t>
      </w:r>
    </w:p>
    <w:p>
      <w:pPr>
        <w:spacing w:after="120"/>
      </w:pPr>
      <w:r>
        <w:rPr>
          <w:b w:val="0"/>
          <w:i w:val="0"/>
          <w:sz w:val="22"/>
        </w:rPr>
        <w:t>This memo does not specify the supplementary reports that students will see during warm-up. The list of inherited dashboards beyond the four primary statements is deferred to implementation. The memo does not specify the order of report generation during the initialization job. The memo does not specify retry or recovery behavior if the initialization job fails partway through. These implementation details follow from the architectural decisions captured here.</w:t>
      </w:r>
    </w:p>
    <w:p>
      <w:pPr>
        <w:spacing w:after="120"/>
      </w:pPr>
      <w:r>
        <w:rPr>
          <w:b w:val="0"/>
          <w:i w:val="0"/>
          <w:sz w:val="22"/>
        </w:rPr>
        <w:t>The memo does not address the relationship between CF warm-up and CF+ phase boundaries. The verified CF+ services assume students run all course quarters from Quarter 1 onward. With CF students entering at Quarter 4, the CF+ Build phase presumably starts at Quarter 4 as well. The implications for CF+ Manufacturing, the verification 2 cleanup work, and any necessary phase-boundary adjustments are deferred to a separate analysis. Until that analysis is complete, the warm-up architecture described here applies to CF only.</w:t>
      </w:r>
    </w:p>
    <w:p>
      <w:pPr>
        <w:spacing w:before="200" w:after="80"/>
      </w:pPr>
      <w:r>
        <w:rPr>
          <w:b/>
          <w:sz w:val="26"/>
        </w:rPr>
        <w:t>Next steps</w:t>
      </w:r>
    </w:p>
    <w:p>
      <w:pPr>
        <w:spacing w:after="120"/>
      </w:pPr>
      <w:r>
        <w:rPr>
          <w:b w:val="0"/>
          <w:i w:val="0"/>
          <w:sz w:val="22"/>
        </w:rPr>
        <w:t>Implementation planning begins after this memo is reviewed and approved. The implementation work will involve creating the scenario source data tables, building the initialization service, wiring the initialization job to course creation, exposing the read-only inherited statements on the student dashboard, and updating the decision enablement wizard to reflect the Quarter 4 minimum requirement. The CF+ analysis runs in parallel to determine what changes, if any, are needed in the verified Cfx services to accommodate the new student entry point.</w:t>
      </w:r>
    </w:p>
    <w:p>
      <w:pPr>
        <w:pStyle w:val="Heading2"/>
      </w:pPr>
      <w:r>
        <w:t>Certification clarification - ratified 2026-08-06</w:t>
      </w:r>
    </w:p>
    <w:p>
      <w:r>
        <w:t>Vikram ratified this clarification on 2026-08-06: Certification is a selected-quarter financial-statement attestation, not a continuing operating capability. It is excluded from the Quarter 4 minimum, explicitly enabled by faculty, exempt from monotonic activation, and permitted in selected non-consecutive quarters. This clarification supersedes the memo's general monotonic statement only for Certification. All operating categories remain subject to monotonic activation.</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