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CF Manufacturing Rebuild — Amendment: Cash Dividend (Lean)</w:t>
      </w:r>
    </w:p>
    <w:p>
      <w:pPr>
        <w:spacing w:after="260"/>
      </w:pPr>
      <w:r>
        <w:rPr>
          <w:i/>
          <w:iCs/>
          <w:color w:val="555555"/>
          <w:sz w:val="22"/>
          <w:szCs w:val="22"/>
        </w:rPr>
        <w:t xml:space="preserve">One Smarter, Inc.  |  August 6, 2026  |  For Ruchita</w:t>
      </w:r>
    </w:p>
    <w:p>
      <w:pPr>
        <w:pStyle w:val="Heading2"/>
        <w:spacing w:after="120" w:before="260"/>
      </w:pPr>
      <w:r>
        <w:rPr>
          <w:b/>
          <w:bCs/>
        </w:rPr>
        <w:t xml:space="preserve">Purpose of this document</w:t>
      </w:r>
    </w:p>
    <w:p>
      <w:pPr>
        <w:spacing w:after="160"/>
      </w:pPr>
      <w:r>
        <w:t xml:space="preserve">This is a focused amendment, requested and approved by Vikram, that adds a cash dividend to the CF Manufacturing simulation. It is deliberately the lean version: a student decision, paid in the quarter it is declared, with guardrails, and nothing more. It should be built before the Phase 7 close-quarter orchestration and student workspace are built, so that the close logic and the workspace include the dividend from the start rather than being reworked. It can proceed in parallel with, or right after, the Phase 7 first increment that introduces firms and the warm-up persistence.</w:t>
      </w:r>
    </w:p>
    <w:p>
      <w:pPr>
        <w:pStyle w:val="Heading2"/>
        <w:spacing w:after="120" w:before="260"/>
      </w:pPr>
      <w:r>
        <w:rPr>
          <w:b/>
          <w:bCs/>
        </w:rPr>
        <w:t xml:space="preserve">What we are adding, and what we are not</w:t>
      </w:r>
    </w:p>
    <w:p>
      <w:pPr>
        <w:spacing w:after="160"/>
      </w:pPr>
      <w:r>
        <w:t xml:space="preserve">We are adding a single cash dividend that a firm's students choose each student-controlled quarter from Quarter 4 onward. It is declared and paid in the same quarter, so it reduces cash and equity immediately and there is no dividends-payable liability. It is guarded so a firm cannot pay more than it has earned or drain its cash below the required buffer. That is the whole feature. We are explicitly not adding the declared-versus-paid timing with a dividends-payable liability, we are not making dividends a faculty-gated category in the enablement matrix, and we are not adding any scenario or faculty payout policy. Those are possible later steps that Vikram may choose, but they are out of scope here.</w:t>
      </w:r>
    </w:p>
    <w:p>
      <w:pPr>
        <w:pStyle w:val="Heading2"/>
        <w:spacing w:after="120" w:before="260"/>
      </w:pPr>
      <w:r>
        <w:rPr>
          <w:b/>
          <w:bCs/>
        </w:rPr>
        <w:t xml:space="preserve">The accounting</w:t>
      </w:r>
    </w:p>
    <w:p>
      <w:pPr>
        <w:spacing w:after="160"/>
      </w:pPr>
      <w:r>
        <w:t xml:space="preserve">A cash dividend moves in one direction on each side of the balance sheet and keeps it balanced by construction. In the quarter it is paid, ending cash falls by the dividend and total equity falls by the same amount through retained earnings, and the cash-flow statement records the dividend as a financing outflow. There is no income-statement effect, since a dividend is a distribution of earnings, not an expense, so pre-tax income, tax, and net income are unchanged. The engine already carries a financing line, cf_equity, that currently sits at zero and is the natural place to record the outflow, though a dedicated cf_dividend line is clearer if that is cleaner to read; use whichever keeps the statement legible, but record the dividend as a financing outflow. Reduce ending equity by the dividend in the same quarter, either through a contra line in the equity section or by netting the dividend into retained earnings, so that the balance-sheet identity holds within the quarter rather than a quarter later.</w:t>
      </w:r>
    </w:p>
    <w:p>
      <w:pPr>
        <w:spacing w:after="160"/>
      </w:pPr>
      <w:r>
        <w:t xml:space="preserve">The roll-forward matters. Today the opening position for a quarter carries retained earnings as the prior quarter's retained plus its net income. Once a dividend exists, that carry-forward must be net of the dividend the prior quarter paid, so the dividend is not silently added back. In other words, next quarter's opening retained earnings equals the prior quarter's opening retained plus the prior quarter's net income minus the prior quarter's dividend. Getting this right is what keeps the chain coherent across quarters, and the plausibility validator's retained-earnings coherence check will need to allow retained to fall by the dividend rather than expecting it to equal opening plus net income exactly.</w:t>
      </w:r>
    </w:p>
    <w:p>
      <w:pPr>
        <w:pStyle w:val="Heading2"/>
        <w:spacing w:after="120" w:before="260"/>
      </w:pPr>
      <w:r>
        <w:rPr>
          <w:b/>
          <w:bCs/>
        </w:rPr>
        <w:t xml:space="preserve">The guardrails</w:t>
      </w:r>
    </w:p>
    <w:p>
      <w:pPr>
        <w:spacing w:after="160"/>
      </w:pPr>
      <w:r>
        <w:t xml:space="preserve">Two limits protect the firm, and both are enforced so a student can never produce an incoherent result. First, a firm cannot declare a dividend larger than its distributable retained earnings, which is its accumulated retained earnings including the current quarter's net income; if that figure is zero or negative because the firm has an accumulated deficit, no dividend is permitted. Second, a firm cannot pay a dividend that would drop its ending cash below the scenario's minimum cash buffer, which is already a parameter at one million. The maximum dividend a firm can pay in a quarter is therefore the smaller of its distributable retained earnings and its cash above the buffer, never below zero. Critically, the dividend must be capped before the engine's automatic debt draw is considered, so that a dividend can never be the thing that forces a firm to borrow; a firm pays a dividend only from cash it genuinely has above the buffer, not from the credit line. Enforce the limit at decision entry, so a student who tries to submit a dividend above the maximum is told the maximum and asked to lower it, and defend it again in the engine so the computation itself can never breach either limit.</w:t>
      </w:r>
    </w:p>
    <w:p>
      <w:pPr>
        <w:pStyle w:val="Heading2"/>
        <w:spacing w:after="120" w:before="260"/>
      </w:pPr>
      <w:r>
        <w:rPr>
          <w:b/>
          <w:bCs/>
        </w:rPr>
        <w:t xml:space="preserve">Where the decision lives</w:t>
      </w:r>
    </w:p>
    <w:p>
      <w:pPr>
        <w:spacing w:after="160"/>
      </w:pPr>
      <w:r>
        <w:t xml:space="preserve">Because this is the lean version, the dividend is a per-firm, per-quarter financing decision that becomes available once students take control at Quarter 4, and it is not one of the nine enablement-matrix categories that faculty open and close. It is simply available to a firm in its active student-controlled quarter. During the warm-up, Quarters 1 through 3, and in any quarter where the firm is not entering it, the dividend defaults to zero through the sim rules, exactly as the other closed categories are filled, so the warm-up histories and the signed-off warm-up behavior do not change at all. Store the dividend with the firm's decisions for the quarter so it is locked at close alongside the rest and shown read-only afterward.</w:t>
      </w:r>
    </w:p>
    <w:p>
      <w:pPr>
        <w:pStyle w:val="Heading2"/>
        <w:spacing w:after="120" w:before="260"/>
      </w:pPr>
      <w:r>
        <w:rPr>
          <w:b/>
          <w:bCs/>
        </w:rPr>
        <w:t xml:space="preserve">The touch points</w:t>
      </w:r>
    </w:p>
    <w:p>
      <w:pPr>
        <w:spacing w:after="160"/>
      </w:pPr>
      <w:r>
        <w:t xml:space="preserve">The engine gains the dividend input, the financing-outflow line, the equity reduction, and the corrected retained-earnings carry-forward in the opening-position contract. The accounting-identity validator gains the dividend in its financing-cash-flow sum and in its equity sum, so both the balance-sheet identity and the cash reconciliation continue to hold. The plausibility validator's retained-earnings coherence check is adjusted to expect retained net of the dividend. The sim rules gain a dividend default of zero for any quarter the firm is not deciding it. And the decision contract gains the dividend field with its entry-time guardrail. Every one of these is a small, localized change, and the identity validator is the safety net that will catch any error the moment a result does not balance.</w:t>
      </w:r>
    </w:p>
    <w:p>
      <w:pPr>
        <w:pStyle w:val="Heading2"/>
        <w:spacing w:after="120" w:before="260"/>
      </w:pPr>
      <w:r>
        <w:rPr>
          <w:b/>
          <w:bCs/>
        </w:rPr>
        <w:t xml:space="preserve">Tests required</w:t>
      </w:r>
    </w:p>
    <w:p>
      <w:pPr>
        <w:spacing w:after="160"/>
      </w:pPr>
      <w:r>
        <w:t xml:space="preserve">Write the tests alongside the change, green under PostgreSQL. Prove the accounting: a dividend reduces ending cash and total equity by exactly the dividend and the balance sheet still balances, the financing cash-flow line records it, and net income is unchanged. Prove the chain: a quarter that pays a dividend hands the next quarter an opening retained earnings reduced by that dividend, and a multi-quarter run stays coherent and plausible. Prove the guardrails: a dividend above distributable retained earnings is rejected at entry and impossible in the engine, a dividend that would breach the minimum cash buffer is rejected and impossible, a firm with an accumulated deficit can pay nothing, and a dividend never triggers the automatic debt draw. Prove the default: with no dividend decision, the value is zero and the warm-up and closed-quarter behavior is unchanged from the signed-off baseline. Confirm the existing warm-up and engine suites remain green, since the default-zero path must leave prior results untouched.</w:t>
      </w:r>
    </w:p>
    <w:p>
      <w:pPr>
        <w:pStyle w:val="Heading2"/>
        <w:spacing w:after="120" w:before="260"/>
      </w:pPr>
      <w:r>
        <w:rPr>
          <w:b/>
          <w:bCs/>
        </w:rPr>
        <w:t xml:space="preserve">Definition of done</w:t>
      </w:r>
    </w:p>
    <w:p>
      <w:pPr>
        <w:spacing w:after="160"/>
      </w:pPr>
      <w:r>
        <w:t xml:space="preserve">A firm's students can declare a cash dividend in a student-controlled quarter from Quarter 4, it is paid that quarter, it reduces cash and equity by the same amount with the balance sheet balanced and the cash reconciliation intact, and it is guarded so it can never exceed distributable retained earnings, never breach the minimum cash buffer, and never force a debt draw. With no dividend chosen the value is zero and nothing about the signed-off warm-up or engine behavior changes. The full suite runs green with php artisan test under PostgreSQL, with no warnings, no deprecations, and no MySQL-specific SQL. The return leads with any decision that departs from this amendment, or states there were none.</w:t>
      </w:r>
    </w:p>
    <w:p>
      <w:pPr>
        <w:pStyle w:val="Heading2"/>
        <w:spacing w:after="120" w:before="260"/>
      </w:pPr>
      <w:r>
        <w:rPr>
          <w:b/>
          <w:bCs/>
        </w:rPr>
        <w:t xml:space="preserve">What Ruchita verifies before sending to Vikram</w:t>
      </w:r>
    </w:p>
    <w:p>
      <w:pPr>
        <w:spacing w:after="160"/>
      </w:pPr>
      <w:r>
        <w:t xml:space="preserve">The dividend reduces cash and equity identically with the balance sheet balanced, the retained-earnings carry-forward is net of the dividend, the guardrails hold at entry and in the engine including the no-debt-draw rule, the default-zero path leaves the warm-up and engine baselines unchanged, and the suite is green under PostgreSQL with no MySQL-specific SQL. Any departure is flagged at the top of the return. If a check fails, correct with Codex first; otherwise send with a specific note for Vikram.</w:t>
      </w:r>
    </w:p>
    <w:p>
      <w:pPr>
        <w:pStyle w:val="Heading2"/>
        <w:spacing w:after="120" w:before="260"/>
      </w:pPr>
      <w:r>
        <w:rPr>
          <w:b/>
          <w:bCs/>
        </w:rPr>
        <w:t xml:space="preserve">Reference files</w:t>
      </w:r>
    </w:p>
    <w:p>
      <w:pPr>
        <w:spacing w:after="160"/>
      </w:pPr>
      <w:r>
        <w:t xml:space="preserve">From this rebuild: the Phase 3 engine at app/Services/Engines/CorporateFinance/ManufacturingCFEngine.php and its financing and equity sections, the OpeningFinancialPosition contract for the retained-earnings carry-forward, the AccountingIdentityValidator and the FinancialPlausibilityValidator for the two validation touch points, and the Phase 4 CfManufacturingSimRulesService for the default-zero derivation. The minimum cash buffer is the existing scenario parameter minimum_cash_buffer at one million. Section 5 of the Production Specification covers the engine and the statements.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2026-08-06T13:09:57.965Z</dcterms:created>
  <dcterms:modified xsi:type="dcterms:W3CDTF">2026-08-06T13:09:57.967Z</dcterms:modified>
</cp:coreProperties>
</file>

<file path=docProps/custom.xml><?xml version="1.0" encoding="utf-8"?>
<Properties xmlns="http://schemas.openxmlformats.org/officeDocument/2006/custom-properties" xmlns:vt="http://schemas.openxmlformats.org/officeDocument/2006/docPropsVTypes"/>
</file>