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2A44"/>
          <w:sz w:val="40"/>
          <w:szCs w:val="40"/>
        </w:rPr>
        <w:t xml:space="preserve">CF Manufacturing Rebuild</w:t>
      </w:r>
    </w:p>
    <w:p>
      <w:pPr>
        <w:spacing w:after="60"/>
      </w:pPr>
      <w:r>
        <w:rPr>
          <w:rFonts w:ascii="Calibri" w:cs="Calibri" w:eastAsia="Calibri" w:hAnsi="Calibri"/>
          <w:color w:val="3A4A63"/>
          <w:sz w:val="30"/>
          <w:szCs w:val="30"/>
        </w:rPr>
        <w:t xml:space="preserve">Phase 3 Corrective 1</w:t>
      </w:r>
    </w:p>
    <w:p>
      <w:pPr>
        <w:spacing w:after="200"/>
      </w:pPr>
      <w:r>
        <w:rPr>
          <w:rFonts w:ascii="Calibri" w:cs="Calibri" w:eastAsia="Calibri" w:hAnsi="Calibri"/>
          <w:i/>
          <w:iCs/>
          <w:color w:val="5A6678"/>
          <w:sz w:val="22"/>
          <w:szCs w:val="22"/>
        </w:rPr>
        <w:t xml:space="preserve">Signed working-capital movements in the cash flow statement</w:t>
      </w:r>
    </w:p>
    <w:p>
      <w:pPr>
        <w:spacing w:after="40"/>
      </w:pPr>
      <w:r>
        <w:rPr>
          <w:rFonts w:ascii="Calibri" w:cs="Calibri" w:eastAsia="Calibri" w:hAnsi="Calibri"/>
          <w:color w:val="5A6678"/>
          <w:sz w:val="20"/>
          <w:szCs w:val="20"/>
        </w:rPr>
        <w:t xml:space="preserve">One Smarter, Inc.  |  August 4, 2026  |  For Sakshi and Codex</w:t>
      </w:r>
    </w:p>
    <w:p>
      <w:pPr>
        <w:spacing w:after="40"/>
      </w:pPr>
      <w:r>
        <w:rPr>
          <w:rFonts w:ascii="Calibri" w:cs="Calibri" w:eastAsia="Calibri" w:hAnsi="Calibri"/>
          <w:color w:val="5A6678"/>
          <w:sz w:val="20"/>
          <w:szCs w:val="20"/>
        </w:rPr>
        <w:t xml:space="preserve">Reopens: Phase 3 (ManufacturingCFEngine), signed off 2026-07-22, as a bounded corrective</w:t>
      </w:r>
    </w:p>
    <w:p>
      <w:pPr>
        <w:spacing w:after="120"/>
      </w:pPr>
      <w:r>
        <w:rPr>
          <w:rFonts w:ascii="Calibri" w:cs="Calibri" w:eastAsia="Calibri" w:hAnsi="Calibri"/>
          <w:b/>
          <w:bCs/>
          <w:color w:val="1F2A44"/>
          <w:sz w:val="20"/>
          <w:szCs w:val="20"/>
        </w:rPr>
        <w:t xml:space="preserve">Status: LOCKED. This is the sole authorized work item. Phase 5 remains suspended and unsigned.</w:t>
      </w:r>
    </w:p>
    <w:p>
      <w:pPr>
        <w:pBdr>
          <w:bottom w:val="single" w:color="B8C0CC" w:sz="6" w:space="6"/>
        </w:pBdr>
        <w:spacing w:after="200" w:before="60"/>
      </w:pPr>
      <w:r>
        <w:rPr>
          <w:rFonts w:ascii="Calibri" w:cs="Calibri" w:eastAsia="Calibri" w:hAnsi="Calibri"/>
          <w:sz w:val="22"/>
          <w:szCs w:val="22"/>
        </w:rPr>
        <w:t xml:space="preserve"/>
      </w:r>
    </w:p>
    <w:p>
      <w:pPr>
        <w:pStyle w:val="Heading1"/>
        <w:spacing w:after="160" w:before="320"/>
      </w:pPr>
      <w:r>
        <w:rPr>
          <w:rFonts w:ascii="Calibri" w:cs="Calibri" w:eastAsia="Calibri" w:hAnsi="Calibri"/>
          <w:b/>
          <w:bCs/>
          <w:color w:val="1F2A44"/>
          <w:sz w:val="26"/>
          <w:szCs w:val="26"/>
        </w:rPr>
        <w:t xml:space="preserve">How this corrective applies</w:t>
      </w:r>
    </w:p>
    <w:p>
      <w:pPr>
        <w:spacing w:after="180" w:line="276"/>
        <w:jc w:val="both"/>
      </w:pPr>
      <w:r>
        <w:rPr>
          <w:rFonts w:ascii="Calibri" w:cs="Calibri" w:eastAsia="Calibri" w:hAnsi="Calibri"/>
          <w:sz w:val="22"/>
          <w:szCs w:val="22"/>
        </w:rPr>
        <w:t xml:space="preserve">This document reopens Phase 3 for a bounded correction and is the governing artifact for that work. It does not reopen Phase 3 generally: everything signed off on 2026-07-22 stands except the three cash-flow presentation mappings named in Section 3. Phase 4 sign-off stands. Phase 5 stays suspended and unsigned, and Amendments 1 and 2 to the Phase 5 instructions remain in force in full, including the frozen standard deviation at </w:t>
      </w:r>
      <w:r>
        <w:rPr>
          <w:rFonts w:ascii="Consolas" w:cs="Consolas" w:eastAsia="Consolas" w:hAnsi="Consolas"/>
          <w:sz w:val="20"/>
          <w:szCs w:val="20"/>
        </w:rPr>
        <w:t xml:space="preserve">0.0025</w:t>
      </w:r>
      <w:r>
        <w:rPr>
          <w:rFonts w:ascii="Calibri" w:cs="Calibri" w:eastAsia="Calibri" w:hAnsi="Calibri"/>
          <w:sz w:val="22"/>
          <w:szCs w:val="22"/>
        </w:rPr>
        <w:t xml:space="preserve"> and the rule that no dispersion rung is accepted.</w:t>
      </w:r>
    </w:p>
    <w:p>
      <w:pPr>
        <w:spacing w:after="180" w:line="276"/>
        <w:jc w:val="both"/>
      </w:pPr>
      <w:r>
        <w:rPr>
          <w:rFonts w:ascii="Calibri" w:cs="Calibri" w:eastAsia="Calibri" w:hAnsi="Calibri"/>
          <w:sz w:val="22"/>
          <w:szCs w:val="22"/>
        </w:rPr>
        <w:t xml:space="preserve">The dispersion ladder does not resume until this corrective is signed off. That ordering is deliberate. The ladder is the instrument that found this defect, and rerunning it against an engine that still reverses the sign of declining liabilities would produce results I cannot interpret, since I would not know whether a failure came from calibration or from the known defect.</w:t>
      </w:r>
    </w:p>
    <w:p>
      <w:pPr>
        <w:pStyle w:val="Heading1"/>
        <w:spacing w:after="160" w:before="320"/>
      </w:pPr>
      <w:r>
        <w:rPr>
          <w:rFonts w:ascii="Calibri" w:cs="Calibri" w:eastAsia="Calibri" w:hAnsi="Calibri"/>
          <w:b/>
          <w:bCs/>
          <w:color w:val="1F2A44"/>
          <w:sz w:val="26"/>
          <w:szCs w:val="26"/>
        </w:rPr>
        <w:t xml:space="preserve">1. The defect and the proof</w:t>
      </w:r>
    </w:p>
    <w:p>
      <w:pPr>
        <w:spacing w:after="180" w:line="276"/>
        <w:jc w:val="both"/>
      </w:pPr>
      <w:r>
        <w:rPr>
          <w:rFonts w:ascii="Calibri" w:cs="Calibri" w:eastAsia="Calibri" w:hAnsi="Calibri"/>
          <w:sz w:val="22"/>
          <w:szCs w:val="22"/>
        </w:rPr>
        <w:t xml:space="preserve">The engine calculates accrued-liability changes correctly as signed values internally, then exposes warranty, service-level, and excise movements through </w:t>
      </w:r>
      <w:r>
        <w:rPr>
          <w:rFonts w:ascii="Consolas" w:cs="Consolas" w:eastAsia="Consolas" w:hAnsi="Consolas"/>
          <w:sz w:val="20"/>
          <w:szCs w:val="20"/>
        </w:rPr>
        <w:t xml:space="preserve">abs()</w:t>
      </w:r>
      <w:r>
        <w:rPr>
          <w:rFonts w:ascii="Calibri" w:cs="Calibri" w:eastAsia="Calibri" w:hAnsi="Calibri"/>
          <w:sz w:val="22"/>
          <w:szCs w:val="22"/>
        </w:rPr>
        <w:t xml:space="preserve"> when building the public cash flow statement. Whenever one of those liabilities declines, the published movement carries the wrong sign, and the cash reconciliation breaks by exactly twice the magnitude of the declining movement. The arithmetic is closed-form: signed movement minus absolute movement equals negative two times the absolute value of each negative movement.</w:t>
      </w:r>
    </w:p>
    <w:p>
      <w:pPr>
        <w:spacing w:after="180" w:line="276"/>
        <w:jc w:val="both"/>
      </w:pPr>
      <w:r>
        <w:rPr>
          <w:rFonts w:ascii="Calibri" w:cs="Calibri" w:eastAsia="Calibri" w:hAnsi="Calibri"/>
          <w:sz w:val="22"/>
          <w:szCs w:val="22"/>
        </w:rPr>
        <w:t xml:space="preserve">Both endpoints of the observed range confirm it to the cent. A single excise movement of </w:t>
      </w:r>
      <w:r>
        <w:rPr>
          <w:rFonts w:ascii="Consolas" w:cs="Consolas" w:eastAsia="Consolas" w:hAnsi="Consolas"/>
          <w:sz w:val="20"/>
          <w:szCs w:val="20"/>
        </w:rPr>
        <w:t xml:space="preserve">-5,287.32</w:t>
      </w:r>
      <w:r>
        <w:rPr>
          <w:rFonts w:ascii="Calibri" w:cs="Calibri" w:eastAsia="Calibri" w:hAnsi="Calibri"/>
          <w:sz w:val="22"/>
          <w:szCs w:val="22"/>
        </w:rPr>
        <w:t xml:space="preserve"> published as </w:t>
      </w:r>
      <w:r>
        <w:rPr>
          <w:rFonts w:ascii="Consolas" w:cs="Consolas" w:eastAsia="Consolas" w:hAnsi="Consolas"/>
          <w:sz w:val="20"/>
          <w:szCs w:val="20"/>
        </w:rPr>
        <w:t xml:space="preserve">+5,287.32</w:t>
      </w:r>
      <w:r>
        <w:rPr>
          <w:rFonts w:ascii="Calibri" w:cs="Calibri" w:eastAsia="Calibri" w:hAnsi="Calibri"/>
          <w:sz w:val="22"/>
          <w:szCs w:val="22"/>
        </w:rPr>
        <w:t xml:space="preserve"> produces a difference of </w:t>
      </w:r>
      <w:r>
        <w:rPr>
          <w:rFonts w:ascii="Consolas" w:cs="Consolas" w:eastAsia="Consolas" w:hAnsi="Consolas"/>
          <w:sz w:val="20"/>
          <w:szCs w:val="20"/>
        </w:rPr>
        <w:t xml:space="preserve">-10,574.64</w:t>
      </w:r>
      <w:r>
        <w:rPr>
          <w:rFonts w:ascii="Calibri" w:cs="Calibri" w:eastAsia="Calibri" w:hAnsi="Calibri"/>
          <w:sz w:val="22"/>
          <w:szCs w:val="22"/>
        </w:rPr>
        <w:t xml:space="preserve">. The smallest failure, </w:t>
      </w:r>
      <w:r>
        <w:rPr>
          <w:rFonts w:ascii="Consolas" w:cs="Consolas" w:eastAsia="Consolas" w:hAnsi="Consolas"/>
          <w:sz w:val="20"/>
          <w:szCs w:val="20"/>
        </w:rPr>
        <w:t xml:space="preserve">-19.24</w:t>
      </w:r>
      <w:r>
        <w:rPr>
          <w:rFonts w:ascii="Calibri" w:cs="Calibri" w:eastAsia="Calibri" w:hAnsi="Calibri"/>
          <w:sz w:val="22"/>
          <w:szCs w:val="22"/>
        </w:rPr>
        <w:t xml:space="preserve">, traces to a lone service-level accrual movement of </w:t>
      </w:r>
      <w:r>
        <w:rPr>
          <w:rFonts w:ascii="Consolas" w:cs="Consolas" w:eastAsia="Consolas" w:hAnsi="Consolas"/>
          <w:sz w:val="20"/>
          <w:szCs w:val="20"/>
        </w:rPr>
        <w:t xml:space="preserve">-9.62</w:t>
      </w:r>
      <w:r>
        <w:rPr>
          <w:rFonts w:ascii="Calibri" w:cs="Calibri" w:eastAsia="Calibri" w:hAnsi="Calibri"/>
          <w:sz w:val="22"/>
          <w:szCs w:val="22"/>
        </w:rPr>
        <w:t xml:space="preserve">. Replacing only the diagnostic transformation reconciled all 88 failed firm-quarters exactly, which is the confirming test rather than a plausible story. The characterization is recorded at SHA-256 </w:t>
      </w:r>
      <w:r>
        <w:rPr>
          <w:rFonts w:ascii="Consolas" w:cs="Consolas" w:eastAsia="Consolas" w:hAnsi="Consolas"/>
          <w:sz w:val="20"/>
          <w:szCs w:val="20"/>
        </w:rPr>
        <w:t xml:space="preserve">6581F0E90785262423DAC565127CBDDDE959A595C75333633B7B05197A36A6B7</w:t>
      </w:r>
      <w:r>
        <w:rPr>
          <w:rFonts w:ascii="Calibri" w:cs="Calibri" w:eastAsia="Calibri" w:hAnsi="Calibri"/>
          <w:sz w:val="22"/>
          <w:szCs w:val="22"/>
        </w:rPr>
        <w:t xml:space="preserve"> and the sweep and parity analysis at </w:t>
      </w:r>
      <w:r>
        <w:rPr>
          <w:rFonts w:ascii="Consolas" w:cs="Consolas" w:eastAsia="Consolas" w:hAnsi="Consolas"/>
          <w:sz w:val="20"/>
          <w:szCs w:val="20"/>
        </w:rPr>
        <w:t xml:space="preserve">58F0812724372431DE0B6E1061987FC7683962640EE89D00BC625CA650661AFF</w:t>
      </w:r>
      <w:r>
        <w:rPr>
          <w:rFonts w:ascii="Calibri" w:cs="Calibri" w:eastAsia="Calibri" w:hAnsi="Calibri"/>
          <w:sz w:val="22"/>
          <w:szCs w:val="22"/>
        </w:rPr>
        <w:t xml:space="preserve">.</w:t>
      </w:r>
    </w:p>
    <w:p>
      <w:pPr>
        <w:spacing w:after="180" w:line="276"/>
        <w:jc w:val="both"/>
      </w:pPr>
      <w:r>
        <w:rPr>
          <w:rFonts w:ascii="Calibri" w:cs="Calibri" w:eastAsia="Calibri" w:hAnsi="Calibri"/>
          <w:sz w:val="22"/>
          <w:szCs w:val="22"/>
        </w:rPr>
        <w:t xml:space="preserve">The reason this survived Phase 3 sign-off, the executed legacy parity gate, the Phase 4 plausibility validator, and nearly 189,000 assertions is that at a standard deviation of </w:t>
      </w:r>
      <w:r>
        <w:rPr>
          <w:rFonts w:ascii="Consolas" w:cs="Consolas" w:eastAsia="Consolas" w:hAnsi="Consolas"/>
          <w:sz w:val="20"/>
          <w:szCs w:val="20"/>
        </w:rPr>
        <w:t xml:space="preserve">0.0025</w:t>
      </w:r>
      <w:r>
        <w:rPr>
          <w:rFonts w:ascii="Calibri" w:cs="Calibri" w:eastAsia="Calibri" w:hAnsi="Calibri"/>
          <w:sz w:val="22"/>
          <w:szCs w:val="22"/>
        </w:rPr>
        <w:t xml:space="preserve"> no firm has ever declined in any quarter. Not one test in the corpus has ever had a working-capital liability move in the negative direction. The first failures appearing in Q2 and Q3 and never in Q1 is the same fact from the other side: Q0 opens with no accrued liabilities, so every Q1 movement is necessarily positive and the defect is invisible by construction. This is the assertion-volume lesson in its clearest form, and the test regime in Section 4 is the real deliverable here rather than the one-line fix.</w:t>
      </w:r>
    </w:p>
    <w:p>
      <w:pPr>
        <w:pStyle w:val="Heading1"/>
        <w:spacing w:after="160" w:before="320"/>
      </w:pPr>
      <w:r>
        <w:rPr>
          <w:rFonts w:ascii="Calibri" w:cs="Calibri" w:eastAsia="Calibri" w:hAnsi="Calibri"/>
          <w:b/>
          <w:bCs/>
          <w:color w:val="1F2A44"/>
          <w:sz w:val="26"/>
          <w:szCs w:val="26"/>
        </w:rPr>
        <w:t xml:space="preserve">2. Legacy parity treatment</w:t>
      </w:r>
    </w:p>
    <w:p>
      <w:pPr>
        <w:spacing w:after="180" w:line="276"/>
        <w:jc w:val="both"/>
      </w:pPr>
      <w:r>
        <w:rPr>
          <w:rFonts w:ascii="Calibri" w:cs="Calibri" w:eastAsia="Calibri" w:hAnsi="Calibri"/>
          <w:sz w:val="22"/>
          <w:szCs w:val="22"/>
        </w:rPr>
        <w:t xml:space="preserve">The legacy engine converts working-capital movements to magnitudes, so the rebuild reproduced a genuine legacy defect rather than introducing one. The executed legacy fixture contains only positive Q1 movements, which is why the 125-field parity gate passed at 76 exact matches with zero unexplained differences while carrying this through untouched. Parity passed honestly against the fixture and the fixture could not reach the condition.</w:t>
      </w:r>
    </w:p>
    <w:p>
      <w:pPr>
        <w:spacing w:after="180" w:line="276"/>
        <w:jc w:val="both"/>
      </w:pPr>
      <w:r>
        <w:rPr>
          <w:rFonts w:ascii="Calibri" w:cs="Calibri" w:eastAsia="Calibri" w:hAnsi="Calibri"/>
          <w:sz w:val="22"/>
          <w:szCs w:val="22"/>
        </w:rPr>
        <w:t xml:space="preserve">The three corrections are therefore classified as approved legacy-defect corrections and recorded as intentional divergences against the frozen 125-field surface, in the same register as the divergences already bucketed at the Phase 4 gate. We do not reproduce a sign error to preserve a parity number. The frozen field list itself does not change, no field is added or removed, and the divergence register gains three entries with this document cited as their authority.</w:t>
      </w:r>
    </w:p>
    <w:p>
      <w:pPr>
        <w:spacing w:after="180" w:line="276"/>
        <w:jc w:val="both"/>
      </w:pPr>
      <w:r>
        <w:rPr>
          <w:rFonts w:ascii="Calibri" w:cs="Calibri" w:eastAsia="Calibri" w:hAnsi="Calibri"/>
          <w:sz w:val="22"/>
          <w:szCs w:val="22"/>
        </w:rPr>
        <w:t xml:space="preserve">The report also notes that legacy computes </w:t>
      </w:r>
      <w:r>
        <w:rPr>
          <w:rFonts w:ascii="Consolas" w:cs="Consolas" w:eastAsia="Consolas" w:hAnsi="Consolas"/>
          <w:sz w:val="20"/>
          <w:szCs w:val="20"/>
        </w:rPr>
        <w:t xml:space="preserve">cf_accrued_chg</w:t>
      </w:r>
      <w:r>
        <w:rPr>
          <w:rFonts w:ascii="Calibri" w:cs="Calibri" w:eastAsia="Calibri" w:hAnsi="Calibri"/>
          <w:sz w:val="22"/>
          <w:szCs w:val="22"/>
        </w:rPr>
        <w:t xml:space="preserve"> from closing accrued balances rather than as ending minus opening, and that the rebuild already corrected that measurement. Confirm that this measurement correction is already carried in the divergence register from the Phase 4 gate. If it is not, it gets added at the same time, because an approved divergence that exists in code but not in the register is indistinguishable from an undetected break the next time someone reads the parity result.</w:t>
      </w:r>
    </w:p>
    <w:p>
      <w:pPr>
        <w:pStyle w:val="Heading1"/>
        <w:spacing w:after="160" w:before="320"/>
      </w:pPr>
      <w:r>
        <w:rPr>
          <w:rFonts w:ascii="Calibri" w:cs="Calibri" w:eastAsia="Calibri" w:hAnsi="Calibri"/>
          <w:b/>
          <w:bCs/>
          <w:color w:val="1F2A44"/>
          <w:sz w:val="26"/>
          <w:szCs w:val="26"/>
        </w:rPr>
        <w:t xml:space="preserve">3. The authorized change</w:t>
      </w:r>
    </w:p>
    <w:p>
      <w:pPr>
        <w:spacing w:after="180" w:line="276"/>
        <w:jc w:val="both"/>
      </w:pPr>
      <w:r>
        <w:rPr>
          <w:rFonts w:ascii="Calibri" w:cs="Calibri" w:eastAsia="Calibri" w:hAnsi="Calibri"/>
          <w:sz w:val="22"/>
          <w:szCs w:val="22"/>
        </w:rPr>
        <w:t xml:space="preserve">Preserve signed values for </w:t>
      </w:r>
      <w:r>
        <w:rPr>
          <w:rFonts w:ascii="Consolas" w:cs="Consolas" w:eastAsia="Consolas" w:hAnsi="Consolas"/>
          <w:sz w:val="20"/>
          <w:szCs w:val="20"/>
        </w:rPr>
        <w:t xml:space="preserve">cf_accrued_chg</w:t>
      </w:r>
      <w:r>
        <w:rPr>
          <w:rFonts w:ascii="Calibri" w:cs="Calibri" w:eastAsia="Calibri" w:hAnsi="Calibri"/>
          <w:sz w:val="22"/>
          <w:szCs w:val="22"/>
        </w:rPr>
        <w:t xml:space="preserve"> at line 516, </w:t>
      </w:r>
      <w:r>
        <w:rPr>
          <w:rFonts w:ascii="Consolas" w:cs="Consolas" w:eastAsia="Consolas" w:hAnsi="Consolas"/>
          <w:sz w:val="20"/>
          <w:szCs w:val="20"/>
        </w:rPr>
        <w:t xml:space="preserve">cf_warranty_chg</w:t>
      </w:r>
      <w:r>
        <w:rPr>
          <w:rFonts w:ascii="Calibri" w:cs="Calibri" w:eastAsia="Calibri" w:hAnsi="Calibri"/>
          <w:sz w:val="22"/>
          <w:szCs w:val="22"/>
        </w:rPr>
        <w:t xml:space="preserve"> at line 517, and </w:t>
      </w:r>
      <w:r>
        <w:rPr>
          <w:rFonts w:ascii="Consolas" w:cs="Consolas" w:eastAsia="Consolas" w:hAnsi="Consolas"/>
          <w:sz w:val="20"/>
          <w:szCs w:val="20"/>
        </w:rPr>
        <w:t xml:space="preserve">cf_excise_chg</w:t>
      </w:r>
      <w:r>
        <w:rPr>
          <w:rFonts w:ascii="Calibri" w:cs="Calibri" w:eastAsia="Calibri" w:hAnsi="Calibri"/>
          <w:sz w:val="22"/>
          <w:szCs w:val="22"/>
        </w:rPr>
        <w:t xml:space="preserve"> at line 519. Nothing else changes. The internal signed calculation is already correct and is not touched, so this is a presentation-mapping correction with a blast radius of three lines.</w:t>
      </w:r>
    </w:p>
    <w:p>
      <w:pPr>
        <w:spacing w:after="180" w:line="276"/>
        <w:jc w:val="both"/>
      </w:pPr>
      <w:r>
        <w:rPr>
          <w:rFonts w:ascii="Calibri" w:cs="Calibri" w:eastAsia="Calibri" w:hAnsi="Calibri"/>
          <w:sz w:val="22"/>
          <w:szCs w:val="22"/>
        </w:rPr>
        <w:t xml:space="preserve">That bounded radius is directly testable and Section 5 makes it an acceptance criterion. No balance sheet line, no income statement line, and no other cash flow line may move as a result of this change. If implementing it appears to require touching the internal calculation, the opening-position contract, the identity validator, the plausibility validator, a Phase 4 sim rule, or any parameter, that is a stop condition rather than a judgement call.</w:t>
      </w:r>
    </w:p>
    <w:p>
      <w:pPr>
        <w:spacing w:after="180" w:line="276"/>
        <w:jc w:val="both"/>
      </w:pPr>
      <w:r>
        <w:rPr>
          <w:rFonts w:ascii="Calibri" w:cs="Calibri" w:eastAsia="Calibri" w:hAnsi="Calibri"/>
          <w:sz w:val="22"/>
          <w:szCs w:val="22"/>
        </w:rPr>
        <w:t xml:space="preserve">The sweep proved no additional rebuilt </w:t>
      </w:r>
      <w:r>
        <w:rPr>
          <w:rFonts w:ascii="Consolas" w:cs="Consolas" w:eastAsia="Consolas" w:hAnsi="Consolas"/>
          <w:sz w:val="20"/>
          <w:szCs w:val="20"/>
        </w:rPr>
        <w:t xml:space="preserve">abs()</w:t>
      </w:r>
      <w:r>
        <w:rPr>
          <w:rFonts w:ascii="Calibri" w:cs="Calibri" w:eastAsia="Calibri" w:hAnsi="Calibri"/>
          <w:sz w:val="22"/>
          <w:szCs w:val="22"/>
        </w:rPr>
        <w:t xml:space="preserve"> defects, so the correction is confined to these three fields and is not extended to sibling working-capital paths on suspicion.</w:t>
      </w:r>
    </w:p>
    <w:p>
      <w:pPr>
        <w:pStyle w:val="Heading1"/>
        <w:spacing w:after="160" w:before="320"/>
      </w:pPr>
      <w:r>
        <w:rPr>
          <w:rFonts w:ascii="Calibri" w:cs="Calibri" w:eastAsia="Calibri" w:hAnsi="Calibri"/>
          <w:b/>
          <w:bCs/>
          <w:color w:val="1F2A44"/>
          <w:sz w:val="26"/>
          <w:szCs w:val="26"/>
        </w:rPr>
        <w:t xml:space="preserve">4. Required test regime</w:t>
      </w:r>
    </w:p>
    <w:p>
      <w:pPr>
        <w:spacing w:after="180" w:line="276"/>
        <w:jc w:val="both"/>
      </w:pPr>
      <w:r>
        <w:rPr>
          <w:rFonts w:ascii="Calibri" w:cs="Calibri" w:eastAsia="Calibri" w:hAnsi="Calibri"/>
          <w:sz w:val="22"/>
          <w:szCs w:val="22"/>
        </w:rPr>
        <w:t xml:space="preserve">The corpus currently contains no declining quarter anywhere, and that gap is what allowed a sign error to survive every gate we have built. Closing it is the substantive work of this corrective and it happens at the Phase 3 level, using deterministic decision inputs that force declines directly rather than depending on Phase 5 randomization to stumble into them.</w:t>
      </w:r>
    </w:p>
    <w:p>
      <w:pPr>
        <w:spacing w:after="180" w:line="276"/>
        <w:jc w:val="both"/>
      </w:pPr>
      <w:r>
        <w:rPr>
          <w:rFonts w:ascii="Calibri" w:cs="Calibri" w:eastAsia="Calibri" w:hAnsi="Calibri"/>
          <w:sz w:val="22"/>
          <w:szCs w:val="22"/>
        </w:rPr>
        <w:t xml:space="preserve">Three deterministic cases are required, each forcing exactly one of the three liabilities to decline while the other two rise, with the expected signed movement and the expected cash reconciliation stated as literals computed by hand rather than read from engine output. A fourth case forces all three to decline in the same quarter. A fifth case drives a liability to decline to exactly zero, since a movement that takes a balance to zero is the boundary where a magnitude and a signed value stop being distinguishable and is the case most likely to be got wrong by a later edit.</w:t>
      </w:r>
    </w:p>
    <w:p>
      <w:pPr>
        <w:spacing w:after="180" w:line="276"/>
        <w:jc w:val="both"/>
      </w:pPr>
      <w:r>
        <w:rPr>
          <w:rFonts w:ascii="Calibri" w:cs="Calibri" w:eastAsia="Calibri" w:hAnsi="Calibri"/>
          <w:sz w:val="22"/>
          <w:szCs w:val="22"/>
        </w:rPr>
        <w:t xml:space="preserve">On top of the deterministic cases, extend the existing randomized chain regression with a declining-demand regime, chained across quarters using public prior-quarter balances as the current chain does, sized to guarantee that every one of the three liabilities declines in a meaningful number of quarters. Report how many quarters in the run actually contained a decline for each of the three, so the regime is proven to have exercised the condition rather than merely permitted it. A run that reaches the declining path zero times is a failed test setup, not a pass.</w:t>
      </w:r>
    </w:p>
    <w:p>
      <w:pPr>
        <w:spacing w:after="180" w:line="276"/>
        <w:jc w:val="both"/>
      </w:pPr>
      <w:r>
        <w:rPr>
          <w:rFonts w:ascii="Calibri" w:cs="Calibri" w:eastAsia="Calibri" w:hAnsi="Calibri"/>
          <w:sz w:val="22"/>
          <w:szCs w:val="22"/>
        </w:rPr>
        <w:t xml:space="preserve">The Phase 4 plausibility validator has also never seen a declining-demand firm. Run the declining regime through it and report whether it fires, and on what. A validator that flags every declining firm as implausible would block legitimate student outcomes in Phase 7, and a validator silent across the whole regime tells us its bounds were fitted to a growth-only corpus. Either result is a finding I want reported rather than fixed in this pass.</w:t>
      </w:r>
    </w:p>
    <w:p>
      <w:pPr>
        <w:pStyle w:val="Heading1"/>
        <w:spacing w:after="160" w:before="320"/>
      </w:pPr>
      <w:r>
        <w:rPr>
          <w:rFonts w:ascii="Calibri" w:cs="Calibri" w:eastAsia="Calibri" w:hAnsi="Calibri"/>
          <w:b/>
          <w:bCs/>
          <w:color w:val="1F2A44"/>
          <w:sz w:val="26"/>
          <w:szCs w:val="26"/>
        </w:rPr>
        <w:t xml:space="preserve">5. Acceptance criteria</w:t>
      </w:r>
    </w:p>
    <w:p>
      <w:pPr>
        <w:spacing w:after="180" w:line="276"/>
        <w:jc w:val="both"/>
      </w:pPr>
      <w:r>
        <w:rPr>
          <w:rFonts w:ascii="Calibri" w:cs="Calibri" w:eastAsia="Calibri" w:hAnsi="Calibri"/>
          <w:sz w:val="22"/>
          <w:szCs w:val="22"/>
        </w:rPr>
        <w:t xml:space="preserve">The three named fields carry signed values and all five deterministic cases pass against hand-computed literals. The declining-demand randomized regime passes with its decline counts reported per liability. Cash reconciliation holds for every firm-quarter in every new test, and all three identity checks continue to hold at the existing one-cent tolerance.</w:t>
      </w:r>
    </w:p>
    <w:p>
      <w:pPr>
        <w:spacing w:after="180" w:line="276"/>
        <w:jc w:val="both"/>
      </w:pPr>
      <w:r>
        <w:rPr>
          <w:rFonts w:ascii="Calibri" w:cs="Calibri" w:eastAsia="Calibri" w:hAnsi="Calibri"/>
          <w:sz w:val="22"/>
          <w:szCs w:val="22"/>
        </w:rPr>
        <w:t xml:space="preserve">Blast radius is proven rather than asserted. Run the full existing corpus before and after the change and demonstrate that every balance sheet line, every income statement line, and every cash flow line other than the three named fields is identical. Since no test in the existing corpus contains a declining quarter, the correct result is that the entire existing corpus is unchanged, including all three parity fixtures. If anything else moves, stop and report, because that would mean the change is not the presentation-only correction this document authorizes.</w:t>
      </w:r>
    </w:p>
    <w:p>
      <w:pPr>
        <w:spacing w:after="180" w:line="276"/>
        <w:jc w:val="both"/>
      </w:pPr>
      <w:r>
        <w:rPr>
          <w:rFonts w:ascii="Calibri" w:cs="Calibri" w:eastAsia="Calibri" w:hAnsi="Calibri"/>
          <w:sz w:val="22"/>
          <w:szCs w:val="22"/>
        </w:rPr>
        <w:t xml:space="preserve">The divergence register carries the three approved legacy-defect corrections, and the </w:t>
      </w:r>
      <w:r>
        <w:rPr>
          <w:rFonts w:ascii="Consolas" w:cs="Consolas" w:eastAsia="Consolas" w:hAnsi="Consolas"/>
          <w:sz w:val="20"/>
          <w:szCs w:val="20"/>
        </w:rPr>
        <w:t xml:space="preserve">cf_accrued_chg</w:t>
      </w:r>
      <w:r>
        <w:rPr>
          <w:rFonts w:ascii="Calibri" w:cs="Calibri" w:eastAsia="Calibri" w:hAnsi="Calibri"/>
          <w:sz w:val="22"/>
          <w:szCs w:val="22"/>
        </w:rPr>
        <w:t xml:space="preserve"> measurement correction is confirmed present. The full suite is green under PostgreSQL against </w:t>
      </w:r>
      <w:r>
        <w:rPr>
          <w:rFonts w:ascii="Consolas" w:cs="Consolas" w:eastAsia="Consolas" w:hAnsi="Consolas"/>
          <w:sz w:val="20"/>
          <w:szCs w:val="20"/>
        </w:rPr>
        <w:t xml:space="preserve">flexee_cf_test</w:t>
      </w:r>
      <w:r>
        <w:rPr>
          <w:rFonts w:ascii="Calibri" w:cs="Calibri" w:eastAsia="Calibri" w:hAnsi="Calibri"/>
          <w:sz w:val="22"/>
          <w:szCs w:val="22"/>
        </w:rPr>
        <w:t xml:space="preserve"> with the overdraft oracles strict, lints clean, and no MySQL-specific SQL.</w:t>
      </w:r>
    </w:p>
    <w:p>
      <w:pPr>
        <w:pStyle w:val="Heading1"/>
        <w:spacing w:after="160" w:before="320"/>
      </w:pPr>
      <w:r>
        <w:rPr>
          <w:rFonts w:ascii="Calibri" w:cs="Calibri" w:eastAsia="Calibri" w:hAnsi="Calibri"/>
          <w:b/>
          <w:bCs/>
          <w:color w:val="1F2A44"/>
          <w:sz w:val="26"/>
          <w:szCs w:val="26"/>
        </w:rPr>
        <w:t xml:space="preserve">6. Carried forward, not authorized here</w:t>
      </w:r>
    </w:p>
    <w:p>
      <w:pPr>
        <w:spacing w:after="180" w:line="276"/>
        <w:jc w:val="both"/>
      </w:pPr>
      <w:r>
        <w:rPr>
          <w:rFonts w:ascii="Calibri" w:cs="Calibri" w:eastAsia="Calibri" w:hAnsi="Calibri"/>
          <w:sz w:val="22"/>
          <w:szCs w:val="22"/>
        </w:rPr>
        <w:t xml:space="preserve">Every firm ended every warm-up quarter with zero inventory, 600 out of 600. That is a finding of its own and possibly a larger one than the defect this document corrects. A manufacturer that never holds inventory gives the FIFO, weighted-average, and LIFO elections locked in Phase 2 nothing to operate on, and it makes the carried-forward absorption-costing question about manufacturing depreciation flowing through overhead into inventory moot in practice without anyone having decided that. It may also account for part of the dispersion attenuation, since inventory is the buffer that would carry a good or bad quarter forward into the next. This is a sim-rule calibration and design question that routes through Vikram, it is not touched in this corrective, and it does not block sign-off here.</w:t>
      </w:r>
    </w:p>
    <w:p>
      <w:pPr>
        <w:spacing w:after="180" w:line="276"/>
        <w:jc w:val="both"/>
      </w:pPr>
      <w:r>
        <w:rPr>
          <w:rFonts w:ascii="Calibri" w:cs="Calibri" w:eastAsia="Calibri" w:hAnsi="Calibri"/>
          <w:sz w:val="22"/>
          <w:szCs w:val="22"/>
        </w:rPr>
        <w:t xml:space="preserve">The Phase 5 dispersion ladder stays suspended with the standard deviation frozen at </w:t>
      </w:r>
      <w:r>
        <w:rPr>
          <w:rFonts w:ascii="Consolas" w:cs="Consolas" w:eastAsia="Consolas" w:hAnsi="Consolas"/>
          <w:sz w:val="20"/>
          <w:szCs w:val="20"/>
        </w:rPr>
        <w:t xml:space="preserve">0.0025</w:t>
      </w:r>
      <w:r>
        <w:rPr>
          <w:rFonts w:ascii="Calibri" w:cs="Calibri" w:eastAsia="Calibri" w:hAnsi="Calibri"/>
          <w:sz w:val="22"/>
          <w:szCs w:val="22"/>
        </w:rPr>
        <w:t xml:space="preserve"> and no rung accepted. Once this corrective is signed off, the ladder reruns from the primary value under the Amendment 2 terms, and I expect different results, since the declining firms that failed to complete under the defect will now produce statements and re-enter the dispersion statistics that were previously computed on a censored sample.</w:t>
      </w:r>
    </w:p>
    <w:p>
      <w:pPr>
        <w:pStyle w:val="Heading1"/>
        <w:spacing w:after="160" w:before="320"/>
      </w:pPr>
      <w:r>
        <w:rPr>
          <w:rFonts w:ascii="Calibri" w:cs="Calibri" w:eastAsia="Calibri" w:hAnsi="Calibri"/>
          <w:b/>
          <w:bCs/>
          <w:color w:val="1F2A44"/>
          <w:sz w:val="26"/>
          <w:szCs w:val="26"/>
        </w:rPr>
        <w:t xml:space="preserve">7. Sequence</w:t>
      </w:r>
    </w:p>
    <w:p>
      <w:pPr>
        <w:spacing w:after="180" w:line="276"/>
        <w:jc w:val="both"/>
      </w:pPr>
      <w:r>
        <w:rPr>
          <w:rFonts w:ascii="Calibri" w:cs="Calibri" w:eastAsia="Calibri" w:hAnsi="Calibri"/>
          <w:sz w:val="22"/>
          <w:szCs w:val="22"/>
        </w:rPr>
        <w:t xml:space="preserve">Implement the three-line correction, add the five deterministic cases and the declining-demand randomized regime, run the before-and-after corpus comparison, update the divergence register, run the full suite, and report. Work continues on </w:t>
      </w:r>
      <w:r>
        <w:rPr>
          <w:rFonts w:ascii="Consolas" w:cs="Consolas" w:eastAsia="Consolas" w:hAnsi="Consolas"/>
          <w:sz w:val="20"/>
          <w:szCs w:val="20"/>
        </w:rPr>
        <w:t xml:space="preserve">phase-5-warmup</w:t>
      </w:r>
      <w:r>
        <w:rPr>
          <w:rFonts w:ascii="Calibri" w:cs="Calibri" w:eastAsia="Calibri" w:hAnsi="Calibri"/>
          <w:sz w:val="22"/>
          <w:szCs w:val="22"/>
        </w:rPr>
        <w:t xml:space="preserve"> or on a corrective branch off it, at Sakshi’s discretion, with nothing merged and nothing pushed to a shared branch until sign-off. Phase 6 does not start. Phase 5 does not resume.</w:t>
      </w:r>
    </w:p>
    <w:p>
      <w:pPr>
        <w:pBdr>
          <w:bottom w:val="single" w:color="B8C0CC" w:sz="6" w:space="6"/>
        </w:pBdr>
        <w:spacing w:after="200" w:before="60"/>
      </w:pPr>
      <w:r>
        <w:rPr>
          <w:rFonts w:ascii="Calibri" w:cs="Calibri" w:eastAsia="Calibri" w:hAnsi="Calibri"/>
          <w:sz w:val="22"/>
          <w:szCs w:val="22"/>
        </w:rPr>
        <w:t xml:space="preserve"/>
      </w:r>
    </w:p>
    <w:p>
      <w:pPr>
        <w:spacing w:after="180" w:line="276"/>
        <w:jc w:val="both"/>
      </w:pPr>
      <w:r>
        <w:rPr>
          <w:rFonts w:ascii="Calibri" w:cs="Calibri" w:eastAsia="Calibri" w:hAnsi="Calibri"/>
          <w:i/>
          <w:iCs/>
          <w:color w:val="5A6678"/>
          <w:sz w:val="20"/>
          <w:szCs w:val="20"/>
        </w:rPr>
        <w:t xml:space="preserve">Phase 3 sign-off of 2026-07-22 stands except as substituted by Section 3. Phase 4 sign-off stands. Phase 5 Amendments 1 and 2 remain in force.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94A6"/>
        <w:sz w:val="16"/>
        <w:szCs w:val="16"/>
      </w:rPr>
      <w:t xml:space="preserve">One Smarter, Inc.  |  August 4, 2026  |  Page </w:t>
    </w:r>
    <w:r>
      <w:rPr>
        <w:rFonts w:ascii="Calibri" w:cs="Calibri" w:eastAsia="Calibri" w:hAnsi="Calibri"/>
        <w:color w:val="8A94A6"/>
        <w:sz w:val="16"/>
        <w:szCs w:val="16"/>
      </w:rPr>
      <w:fldChar w:fldCharType="begin"/>
      <w:instrText xml:space="preserve">PAGE</w:instrText>
      <w:fldChar w:fldCharType="separate"/>
      <w:fldChar w:fldCharType="end"/>
    </w:r>
    <w:r>
      <w:rPr>
        <w:rFonts w:ascii="Calibri" w:cs="Calibri" w:eastAsia="Calibri" w:hAnsi="Calibri"/>
        <w:color w:val="8A94A6"/>
        <w:sz w:val="16"/>
        <w:szCs w:val="16"/>
      </w:rPr>
      <w:t xml:space="preserve"> of </w:t>
    </w:r>
    <w:r>
      <w:rPr>
        <w:rFonts w:ascii="Calibri" w:cs="Calibri" w:eastAsia="Calibri" w:hAnsi="Calibri"/>
        <w:color w:val="8A94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2" w:sz="4" w:space="4"/>
      </w:pBdr>
      <w:spacing w:after="100"/>
    </w:pPr>
    <w:r>
      <w:rPr>
        <w:rFonts w:ascii="Calibri" w:cs="Calibri" w:eastAsia="Calibri" w:hAnsi="Calibri"/>
        <w:color w:val="8A94A6"/>
        <w:sz w:val="16"/>
        <w:szCs w:val="16"/>
      </w:rPr>
      <w:t xml:space="preserve">CF Manufacturing Rebuild — Phase 3 Corrective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 Manufacturing Rebuild — Phase 3 Corrective 1</dc:title>
  <dc:creator>One Smarter, Inc.</dc:creator>
  <dc:description>Signed working-capital movements in the cash flow statement</dc:description>
  <cp:lastModifiedBy>Un-named</cp:lastModifiedBy>
  <cp:revision>1</cp:revision>
  <dcterms:created xsi:type="dcterms:W3CDTF">2026-08-04T14:14:06.646Z</dcterms:created>
  <dcterms:modified xsi:type="dcterms:W3CDTF">2026-08-04T14:14:06.658Z</dcterms:modified>
</cp:coreProperties>
</file>

<file path=docProps/custom.xml><?xml version="1.0" encoding="utf-8"?>
<Properties xmlns="http://schemas.openxmlformats.org/officeDocument/2006/custom-properties" xmlns:vt="http://schemas.openxmlformats.org/officeDocument/2006/docPropsVTypes"/>
</file>