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2A44"/>
          <w:sz w:val="40"/>
          <w:szCs w:val="40"/>
        </w:rPr>
        <w:t xml:space="preserve">CF Manufacturing Rebuild</w:t>
      </w:r>
    </w:p>
    <w:p>
      <w:pPr>
        <w:spacing w:after="60"/>
      </w:pPr>
      <w:r>
        <w:rPr>
          <w:rFonts w:ascii="Calibri" w:cs="Calibri" w:eastAsia="Calibri" w:hAnsi="Calibri"/>
          <w:color w:val="3A4A63"/>
          <w:sz w:val="30"/>
          <w:szCs w:val="30"/>
        </w:rPr>
        <w:t xml:space="preserve">Phase 5 Instructions — Amendment 2</w:t>
      </w:r>
    </w:p>
    <w:p>
      <w:pPr>
        <w:spacing w:after="200"/>
      </w:pPr>
      <w:r>
        <w:rPr>
          <w:rFonts w:ascii="Calibri" w:cs="Calibri" w:eastAsia="Calibri" w:hAnsi="Calibri"/>
          <w:i/>
          <w:iCs/>
          <w:color w:val="5A6678"/>
          <w:sz w:val="22"/>
          <w:szCs w:val="22"/>
        </w:rPr>
        <w:t xml:space="preserve">Warm-up dispersion calibration</w:t>
      </w:r>
    </w:p>
    <w:p>
      <w:pPr>
        <w:spacing w:after="40"/>
      </w:pPr>
      <w:r>
        <w:rPr>
          <w:rFonts w:ascii="Calibri" w:cs="Calibri" w:eastAsia="Calibri" w:hAnsi="Calibri"/>
          <w:color w:val="5A6678"/>
          <w:sz w:val="20"/>
          <w:szCs w:val="20"/>
        </w:rPr>
        <w:t xml:space="preserve">One Smarter, Inc.  |  August 3, 2026  |  For Sakshi and Codex</w:t>
      </w:r>
    </w:p>
    <w:p>
      <w:pPr>
        <w:spacing w:after="40"/>
      </w:pPr>
      <w:r>
        <w:rPr>
          <w:rFonts w:ascii="Calibri" w:cs="Calibri" w:eastAsia="Calibri" w:hAnsi="Calibri"/>
          <w:color w:val="5A6678"/>
          <w:sz w:val="20"/>
          <w:szCs w:val="20"/>
        </w:rPr>
        <w:t xml:space="preserve">Amends: CF_Rebuild_Phase_5_Instructions.docx (2026-07-30) as previously amended by Amendment 1 (2026-08-02)</w:t>
      </w:r>
    </w:p>
    <w:p>
      <w:pPr>
        <w:spacing w:after="120"/>
      </w:pPr>
      <w:r>
        <w:rPr>
          <w:rFonts w:ascii="Calibri" w:cs="Calibri" w:eastAsia="Calibri" w:hAnsi="Calibri"/>
          <w:b/>
          <w:bCs/>
          <w:color w:val="1F2A44"/>
          <w:sz w:val="20"/>
          <w:szCs w:val="20"/>
        </w:rPr>
        <w:t xml:space="preserve">Status: LOCKED. Editing of Phase 5 code resumes on this document and not before.</w:t>
      </w:r>
    </w:p>
    <w:p>
      <w:pPr>
        <w:pBdr>
          <w:bottom w:val="single" w:color="B8C0CC" w:sz="6" w:space="6"/>
        </w:pBdr>
        <w:spacing w:after="200" w:before="60"/>
      </w:pPr>
      <w:r>
        <w:rPr>
          <w:rFonts w:ascii="Calibri" w:cs="Calibri" w:eastAsia="Calibri" w:hAnsi="Calibri"/>
          <w:sz w:val="22"/>
          <w:szCs w:val="22"/>
        </w:rPr>
        <w:t xml:space="preserve"/>
      </w:r>
    </w:p>
    <w:p>
      <w:pPr>
        <w:pStyle w:val="Heading1"/>
        <w:spacing w:after="160" w:before="320"/>
      </w:pPr>
      <w:r>
        <w:rPr>
          <w:rFonts w:ascii="Calibri" w:cs="Calibri" w:eastAsia="Calibri" w:hAnsi="Calibri"/>
          <w:b/>
          <w:bCs/>
          <w:color w:val="1F2A44"/>
          <w:sz w:val="26"/>
          <w:szCs w:val="26"/>
        </w:rPr>
        <w:t xml:space="preserve">How this amendment applies</w:t>
      </w:r>
    </w:p>
    <w:p>
      <w:pPr>
        <w:spacing w:after="180" w:line="276"/>
        <w:jc w:val="both"/>
      </w:pPr>
      <w:r>
        <w:rPr>
          <w:rFonts w:ascii="Calibri" w:cs="Calibri" w:eastAsia="Calibri" w:hAnsi="Calibri"/>
          <w:sz w:val="22"/>
          <w:szCs w:val="22"/>
        </w:rPr>
        <w:t xml:space="preserve">This amendment applies by substitution. It replaces the demand-randomization standard deviation and the dispersion acceptance criteria, and it supersedes Section 4 of Amendment 1 in full. Amendment 1 remains in force everywhere else, including the overdraft treatment in its Section 2, the test correction in its Section 3, the stress-regression reporting, the profitable-case characterization, and the workspace authority. The original Phase 5 instructions govern everywhere neither amendment substitutes.</w:t>
      </w:r>
    </w:p>
    <w:p>
      <w:pPr>
        <w:spacing w:after="180" w:line="276"/>
        <w:jc w:val="both"/>
      </w:pPr>
      <w:r>
        <w:rPr>
          <w:rFonts w:ascii="Calibri" w:cs="Calibri" w:eastAsia="Calibri" w:hAnsi="Calibri"/>
          <w:sz w:val="22"/>
          <w:szCs w:val="22"/>
        </w:rPr>
        <w:t xml:space="preserve">The standing process rule continues. This document plus Amendment 1 plus the original instructions are the governing artifacts, and no intermediate report or transcript is. The existing partial Phase 5 code stays untouched until this amendment is locked; once it is locked, editing resumes on the terms below and on no others.</w:t>
      </w:r>
    </w:p>
    <w:p>
      <w:pPr>
        <w:pStyle w:val="Heading1"/>
        <w:spacing w:after="160" w:before="320"/>
      </w:pPr>
      <w:r>
        <w:rPr>
          <w:rFonts w:ascii="Calibri" w:cs="Calibri" w:eastAsia="Calibri" w:hAnsi="Calibri"/>
          <w:b/>
          <w:bCs/>
          <w:color w:val="1F2A44"/>
          <w:sz w:val="26"/>
          <w:szCs w:val="26"/>
        </w:rPr>
        <w:t xml:space="preserve">1. What the dispersion result established</w:t>
      </w:r>
    </w:p>
    <w:p>
      <w:pPr>
        <w:spacing w:after="180" w:line="276"/>
        <w:jc w:val="both"/>
      </w:pPr>
      <w:r>
        <w:rPr>
          <w:rFonts w:ascii="Calibri" w:cs="Calibri" w:eastAsia="Calibri" w:hAnsi="Calibri"/>
          <w:sz w:val="22"/>
          <w:szCs w:val="22"/>
        </w:rPr>
        <w:t xml:space="preserve">The Amendment 1 gate fired correctly and nothing was tuned in response, which is the outcome the gate was written to produce. Across two synthetic courses of 100 firms each, Q3 coefficients of variation came back at 0.1691 and 0.2038 percent for net revenue, 0.0296 and 0.0329 percent for ending equity, and 0.1404 and 0.1543 percent for ending cash, recorded in </w:t>
      </w:r>
      <w:r>
        <w:rPr>
          <w:rFonts w:ascii="Consolas" w:cs="Consolas" w:eastAsia="Consolas" w:hAnsi="Consolas"/>
          <w:sz w:val="20"/>
          <w:szCs w:val="20"/>
        </w:rPr>
        <w:t xml:space="preserve">PHASE5-WARMUP-DISPERSION.md</w:t>
      </w:r>
      <w:r>
        <w:rPr>
          <w:rFonts w:ascii="Calibri" w:cs="Calibri" w:eastAsia="Calibri" w:hAnsi="Calibri"/>
          <w:sz w:val="22"/>
          <w:szCs w:val="22"/>
        </w:rPr>
        <w:t xml:space="preserve"> at SHA-256 </w:t>
      </w:r>
      <w:r>
        <w:rPr>
          <w:rFonts w:ascii="Consolas" w:cs="Consolas" w:eastAsia="Consolas" w:hAnsi="Consolas"/>
          <w:sz w:val="20"/>
          <w:szCs w:val="20"/>
        </w:rPr>
        <w:t xml:space="preserve">BFB48EE1420EF14E20720A35298A8B82861C943B1A99B9E3AA498D72076711D3</w:t>
      </w:r>
      <w:r>
        <w:rPr>
          <w:rFonts w:ascii="Calibri" w:cs="Calibri" w:eastAsia="Calibri" w:hAnsi="Calibri"/>
          <w:sz w:val="22"/>
          <w:szCs w:val="22"/>
        </w:rPr>
        <w:t xml:space="preserve">. My determination is that this is not pedagogically sufficient. Firms that differ by two tenths of one percent do not read as different firms to a student comparing inherited statements, and a warm-up that produces near-identical histories is inert even when it is numerically flawless.</w:t>
      </w:r>
    </w:p>
    <w:p>
      <w:pPr>
        <w:spacing w:after="180" w:line="276"/>
        <w:jc w:val="both"/>
      </w:pPr>
      <w:r>
        <w:rPr>
          <w:rFonts w:ascii="Calibri" w:cs="Calibri" w:eastAsia="Calibri" w:hAnsi="Calibri"/>
          <w:sz w:val="22"/>
          <w:szCs w:val="22"/>
        </w:rPr>
        <w:t xml:space="preserve">Two things follow from the numbers themselves and both narrow this amendment. First, the within-course dispersion is small but not zero, which establishes that the generator draws per firm rather than only per course. The randomization level is therefore correct as built and is not what needs changing, so the standard deviation is the right lever and the seeding structure stays exactly as it is.</w:t>
      </w:r>
    </w:p>
    <w:p>
      <w:pPr>
        <w:spacing w:after="180" w:line="276"/>
        <w:jc w:val="both"/>
      </w:pPr>
      <w:r>
        <w:rPr>
          <w:rFonts w:ascii="Calibri" w:cs="Calibri" w:eastAsia="Calibri" w:hAnsi="Calibri"/>
          <w:sz w:val="22"/>
          <w:szCs w:val="22"/>
        </w:rPr>
        <w:t xml:space="preserve">Second, the transmission is attenuating rather than amplifying. A standard deviation of 0.0025 on a mean of 1.02 is a per-draw coefficient of variation of 0.245 percent, and three quarters of compounding should carry that up to somewhere between roughly 0.42 and 0.74 percent at Q3 depending on whether the draw is redrawn each quarter or persists per firm. The measured 0.169 to 0.204 percent is below even the lower bound of that range, so output dispersion is arriving smaller than input dispersion. That matters for how this amendment is written: it means the relationship between the standard deviation and the resulting Q3 spread cannot be assumed linear, and a single new number chosen from arithmetic alone could easily miss. The calibration in Section 3 is therefore staged and bounded rather than a lone value.</w:t>
      </w:r>
    </w:p>
    <w:p>
      <w:pPr>
        <w:spacing w:after="180" w:line="276"/>
        <w:jc w:val="both"/>
      </w:pPr>
      <w:r>
        <w:rPr>
          <w:rFonts w:ascii="Calibri" w:cs="Calibri" w:eastAsia="Calibri" w:hAnsi="Calibri"/>
          <w:sz w:val="22"/>
          <w:szCs w:val="22"/>
        </w:rPr>
        <w:t xml:space="preserve">The ending-equity metric I specified in Amendment 1 was the wrong measure and I am correcting it here. Ending equity sits on roughly 100,000,000 of contributed capital that is identical across every firm by construction, so operational dispersion lands only in retained earnings and is then divided by a denominator dominated by a constant. The 0.03 percent equity figure is not independent evidence of anything; it is the revenue figure passed through a diluting denominator. Retained earnings replaces ending equity as the judged metric, with ending equity still reported for continuity.</w:t>
      </w:r>
    </w:p>
    <w:p>
      <w:pPr>
        <w:pStyle w:val="Heading1"/>
        <w:spacing w:after="160" w:before="320"/>
      </w:pPr>
      <w:r>
        <w:rPr>
          <w:rFonts w:ascii="Calibri" w:cs="Calibri" w:eastAsia="Calibri" w:hAnsi="Calibri"/>
          <w:b/>
          <w:bCs/>
          <w:color w:val="1F2A44"/>
          <w:sz w:val="26"/>
          <w:szCs w:val="26"/>
        </w:rPr>
        <w:t xml:space="preserve">2. Preserved without change</w:t>
      </w:r>
    </w:p>
    <w:p>
      <w:pPr>
        <w:spacing w:after="180" w:line="276"/>
        <w:jc w:val="both"/>
      </w:pPr>
      <w:r>
        <w:rPr>
          <w:rFonts w:ascii="Calibri" w:cs="Calibri" w:eastAsia="Calibri" w:hAnsi="Calibri"/>
          <w:sz w:val="22"/>
          <w:szCs w:val="22"/>
        </w:rPr>
        <w:t xml:space="preserve">Deterministic seeded Box-Muller generation is preserved exactly, including reproducibility per course and the per-firm draw structure. Mean quarterly growth remains </w:t>
      </w:r>
      <w:r>
        <w:rPr>
          <w:rFonts w:ascii="Consolas" w:cs="Consolas" w:eastAsia="Consolas" w:hAnsi="Consolas"/>
          <w:sz w:val="20"/>
          <w:szCs w:val="20"/>
        </w:rPr>
        <w:t xml:space="preserve">1.02</w:t>
      </w:r>
      <w:r>
        <w:rPr>
          <w:rFonts w:ascii="Calibri" w:cs="Calibri" w:eastAsia="Calibri" w:hAnsi="Calibri"/>
          <w:sz w:val="22"/>
          <w:szCs w:val="22"/>
        </w:rPr>
        <w:t xml:space="preserve">. Calibrated prices remain </w:t>
      </w:r>
      <w:r>
        <w:rPr>
          <w:rFonts w:ascii="Consolas" w:cs="Consolas" w:eastAsia="Consolas" w:hAnsi="Consolas"/>
          <w:sz w:val="20"/>
          <w:szCs w:val="20"/>
        </w:rPr>
        <w:t xml:space="preserve">270</w:t>
      </w:r>
      <w:r>
        <w:rPr>
          <w:rFonts w:ascii="Calibri" w:cs="Calibri" w:eastAsia="Calibri" w:hAnsi="Calibri"/>
          <w:sz w:val="22"/>
          <w:szCs w:val="22"/>
        </w:rPr>
        <w:t xml:space="preserve"> and </w:t>
      </w:r>
      <w:r>
        <w:rPr>
          <w:rFonts w:ascii="Consolas" w:cs="Consolas" w:eastAsia="Consolas" w:hAnsi="Consolas"/>
          <w:sz w:val="20"/>
          <w:szCs w:val="20"/>
        </w:rPr>
        <w:t xml:space="preserve">350</w:t>
      </w:r>
      <w:r>
        <w:rPr>
          <w:rFonts w:ascii="Calibri" w:cs="Calibri" w:eastAsia="Calibri" w:hAnsi="Calibri"/>
          <w:sz w:val="22"/>
          <w:szCs w:val="22"/>
        </w:rPr>
        <w:t xml:space="preserve">, with student price ranges 210 to 380 and 280 to 455. Seasonality is unchanged. The Q0 baseline and opening position are unchanged. Phase 4 sim rules are unchanged. Phase 3 engine formulas are unchanged apart from the overdraft presentation already approved in Amendment 1. Phase 4 plausibility bounds are unchanged apart from the overdraft flagged state already approved in Amendment 1.</w:t>
      </w:r>
    </w:p>
    <w:p>
      <w:pPr>
        <w:spacing w:after="180" w:line="276"/>
        <w:jc w:val="both"/>
      </w:pPr>
      <w:r>
        <w:rPr>
          <w:rFonts w:ascii="Calibri" w:cs="Calibri" w:eastAsia="Calibri" w:hAnsi="Calibri"/>
          <w:sz w:val="22"/>
          <w:szCs w:val="22"/>
        </w:rPr>
        <w:t xml:space="preserve">The single authorized change in this amendment is the value of the demand standard deviation. Nothing else is authorized, and if reaching the acceptance band appears to require touching anything named in the preceding paragraph, that is a stop condition rather than a judgement call.</w:t>
      </w:r>
    </w:p>
    <w:p>
      <w:pPr>
        <w:pStyle w:val="Heading1"/>
        <w:spacing w:after="160" w:before="320"/>
      </w:pPr>
      <w:r>
        <w:rPr>
          <w:rFonts w:ascii="Calibri" w:cs="Calibri" w:eastAsia="Calibri" w:hAnsi="Calibri"/>
          <w:b/>
          <w:bCs/>
          <w:color w:val="1F2A44"/>
          <w:sz w:val="26"/>
          <w:szCs w:val="26"/>
        </w:rPr>
        <w:t xml:space="preserve">3. The approved change and the calibration ladder</w:t>
      </w:r>
    </w:p>
    <w:p>
      <w:pPr>
        <w:spacing w:after="180" w:line="276"/>
        <w:jc w:val="both"/>
      </w:pPr>
      <w:r>
        <w:rPr>
          <w:rFonts w:ascii="Calibri" w:cs="Calibri" w:eastAsia="Calibri" w:hAnsi="Calibri"/>
          <w:sz w:val="22"/>
          <w:szCs w:val="22"/>
        </w:rPr>
        <w:t xml:space="preserve">The demand standard deviation moves from </w:t>
      </w:r>
      <w:r>
        <w:rPr>
          <w:rFonts w:ascii="Consolas" w:cs="Consolas" w:eastAsia="Consolas" w:hAnsi="Consolas"/>
          <w:sz w:val="20"/>
          <w:szCs w:val="20"/>
        </w:rPr>
        <w:t xml:space="preserve">0.0025</w:t>
      </w:r>
      <w:r>
        <w:rPr>
          <w:rFonts w:ascii="Calibri" w:cs="Calibri" w:eastAsia="Calibri" w:hAnsi="Calibri"/>
          <w:sz w:val="22"/>
          <w:szCs w:val="22"/>
        </w:rPr>
        <w:t xml:space="preserve"> to a primary approved value of </w:t>
      </w:r>
      <w:r>
        <w:rPr>
          <w:rFonts w:ascii="Consolas" w:cs="Consolas" w:eastAsia="Consolas" w:hAnsi="Consolas"/>
          <w:sz w:val="20"/>
          <w:szCs w:val="20"/>
        </w:rPr>
        <w:t xml:space="preserve">0.040</w:t>
      </w:r>
      <w:r>
        <w:rPr>
          <w:rFonts w:ascii="Calibri" w:cs="Calibri" w:eastAsia="Calibri" w:hAnsi="Calibri"/>
          <w:sz w:val="22"/>
          <w:szCs w:val="22"/>
        </w:rPr>
        <w:t xml:space="preserve">. At that value a single quarterly growth draw carries a coefficient of variation of about 3.9 percent, which puts three-sigma quarterly growth roughly in the range of a 10 percent decline to a 14 percent gain. That is a realistic spread of operating fortune for firms in one industry and it is the smallest value I judge capable of reaching the acceptance band given the attenuation described above.</w:t>
      </w:r>
    </w:p>
    <w:p>
      <w:pPr>
        <w:spacing w:after="180" w:line="276"/>
        <w:jc w:val="both"/>
      </w:pPr>
      <w:r>
        <w:rPr>
          <w:rFonts w:ascii="Calibri" w:cs="Calibri" w:eastAsia="Calibri" w:hAnsi="Calibri"/>
          <w:sz w:val="22"/>
          <w:szCs w:val="22"/>
        </w:rPr>
        <w:t xml:space="preserve">If the two-course diagnostic at </w:t>
      </w:r>
      <w:r>
        <w:rPr>
          <w:rFonts w:ascii="Consolas" w:cs="Consolas" w:eastAsia="Consolas" w:hAnsi="Consolas"/>
          <w:sz w:val="20"/>
          <w:szCs w:val="20"/>
        </w:rPr>
        <w:t xml:space="preserve">0.040</w:t>
      </w:r>
      <w:r>
        <w:rPr>
          <w:rFonts w:ascii="Calibri" w:cs="Calibri" w:eastAsia="Calibri" w:hAnsi="Calibri"/>
          <w:sz w:val="22"/>
          <w:szCs w:val="22"/>
        </w:rPr>
        <w:t xml:space="preserve"> comes back below the acceptance band, Codex is authorized to step to </w:t>
      </w:r>
      <w:r>
        <w:rPr>
          <w:rFonts w:ascii="Consolas" w:cs="Consolas" w:eastAsia="Consolas" w:hAnsi="Consolas"/>
          <w:sz w:val="20"/>
          <w:szCs w:val="20"/>
        </w:rPr>
        <w:t xml:space="preserve">0.055</w:t>
      </w:r>
      <w:r>
        <w:rPr>
          <w:rFonts w:ascii="Calibri" w:cs="Calibri" w:eastAsia="Calibri" w:hAnsi="Calibri"/>
          <w:sz w:val="22"/>
          <w:szCs w:val="22"/>
        </w:rPr>
        <w:t xml:space="preserve"> and then to </w:t>
      </w:r>
      <w:r>
        <w:rPr>
          <w:rFonts w:ascii="Consolas" w:cs="Consolas" w:eastAsia="Consolas" w:hAnsi="Consolas"/>
          <w:sz w:val="20"/>
          <w:szCs w:val="20"/>
        </w:rPr>
        <w:t xml:space="preserve">0.070</w:t>
      </w:r>
      <w:r>
        <w:rPr>
          <w:rFonts w:ascii="Calibri" w:cs="Calibri" w:eastAsia="Calibri" w:hAnsi="Calibri"/>
          <w:sz w:val="22"/>
          <w:szCs w:val="22"/>
        </w:rPr>
        <w:t xml:space="preserve">, in that order, rerunning the full two-course hundred-firm diagnostic at each rung and stopping at the first value that lands inside the band. This is a closed set of three values and not a search. No value outside the set is authorized, no interpolation between rungs is authorized, and no other parameter moves in support of a rung. Every rung attempted is reported with its full statistics whether or not it was accepted, so the response curve is visible rather than just the winning value.</w:t>
      </w:r>
    </w:p>
    <w:p>
      <w:pPr>
        <w:spacing w:after="180" w:line="276"/>
        <w:jc w:val="both"/>
      </w:pPr>
      <w:r>
        <w:rPr>
          <w:rFonts w:ascii="Calibri" w:cs="Calibri" w:eastAsia="Calibri" w:hAnsi="Calibri"/>
          <w:sz w:val="22"/>
          <w:szCs w:val="22"/>
        </w:rPr>
        <w:t xml:space="preserve">The hard cap is </w:t>
      </w:r>
      <w:r>
        <w:rPr>
          <w:rFonts w:ascii="Consolas" w:cs="Consolas" w:eastAsia="Consolas" w:hAnsi="Consolas"/>
          <w:sz w:val="20"/>
          <w:szCs w:val="20"/>
        </w:rPr>
        <w:t xml:space="preserve">0.070</w:t>
      </w:r>
      <w:r>
        <w:rPr>
          <w:rFonts w:ascii="Calibri" w:cs="Calibri" w:eastAsia="Calibri" w:hAnsi="Calibri"/>
          <w:sz w:val="22"/>
          <w:szCs w:val="22"/>
        </w:rPr>
        <w:t xml:space="preserve">. If the top rung still fails to reach the band, Codex stops and reports rather than continuing upward. Failure at 0.070 would mean the attenuation is structural and sits somewhere between the demand draw and the revenue line, in which case the fix is not the standard deviation at all and I need to see the evidence in Section 4 before authorizing anything further.</w:t>
      </w:r>
    </w:p>
    <w:p>
      <w:pPr>
        <w:pStyle w:val="Heading1"/>
        <w:spacing w:after="160" w:before="320"/>
      </w:pPr>
      <w:r>
        <w:rPr>
          <w:rFonts w:ascii="Calibri" w:cs="Calibri" w:eastAsia="Calibri" w:hAnsi="Calibri"/>
          <w:b/>
          <w:bCs/>
          <w:color w:val="1F2A44"/>
          <w:sz w:val="26"/>
          <w:szCs w:val="26"/>
        </w:rPr>
        <w:t xml:space="preserve">4. Required measurement and reporting</w:t>
      </w:r>
    </w:p>
    <w:p>
      <w:pPr>
        <w:spacing w:after="180" w:line="276"/>
        <w:jc w:val="both"/>
      </w:pPr>
      <w:r>
        <w:rPr>
          <w:rFonts w:ascii="Calibri" w:cs="Calibri" w:eastAsia="Calibri" w:hAnsi="Calibri"/>
          <w:sz w:val="22"/>
          <w:szCs w:val="22"/>
        </w:rPr>
        <w:t xml:space="preserve">Alongside the acceptance statistics, each diagnostic run reports three diagnostic quantities that explain the result rather than merely stating it. The first is the transmission ratio: Q3 net revenue coefficient of variation divided by the per-draw coefficient of variation, so the attenuation can be tracked as the standard deviation rises and any nonlinearity becomes visible across the rungs.</w:t>
      </w:r>
    </w:p>
    <w:p>
      <w:pPr>
        <w:spacing w:after="180" w:line="276"/>
        <w:jc w:val="both"/>
      </w:pPr>
      <w:r>
        <w:rPr>
          <w:rFonts w:ascii="Calibri" w:cs="Calibri" w:eastAsia="Calibri" w:hAnsi="Calibri"/>
          <w:sz w:val="22"/>
          <w:szCs w:val="22"/>
        </w:rPr>
        <w:t xml:space="preserve">The second is the fraction of warm-up firm-quarters in which units sold were limited by production or available inventory rather than by demand. My working hypothesis for the attenuation is that sim-rule production derives from a deterministic forecast, so sales equal production whenever demand runs above it and the draw only reaches the revenue line in the minority of quarters where demand falls short. If that fraction is high, it explains the attenuation and it also warns that pushing the standard deviation further will produce stockouts rather than smooth dispersion. This is reported as evidence and does not by itself block acceptance.</w:t>
      </w:r>
    </w:p>
    <w:p>
      <w:pPr>
        <w:spacing w:after="180" w:line="276"/>
        <w:jc w:val="both"/>
      </w:pPr>
      <w:r>
        <w:rPr>
          <w:rFonts w:ascii="Calibri" w:cs="Calibri" w:eastAsia="Calibri" w:hAnsi="Calibri"/>
          <w:sz w:val="22"/>
          <w:szCs w:val="22"/>
        </w:rPr>
        <w:t xml:space="preserve">The third is the minimum and maximum realized growth draw across all firms and quarters, confirming that no draw produced a negative or otherwise degenerate demand multiplier at the elevated standard deviation.</w:t>
      </w:r>
    </w:p>
    <w:p>
      <w:pPr>
        <w:pStyle w:val="Heading1"/>
        <w:spacing w:after="160" w:before="320"/>
      </w:pPr>
      <w:r>
        <w:rPr>
          <w:rFonts w:ascii="Calibri" w:cs="Calibri" w:eastAsia="Calibri" w:hAnsi="Calibri"/>
          <w:b/>
          <w:bCs/>
          <w:color w:val="1F2A44"/>
          <w:sz w:val="26"/>
          <w:szCs w:val="26"/>
        </w:rPr>
        <w:t xml:space="preserve">5. Acceptance criteria</w:t>
      </w:r>
    </w:p>
    <w:p>
      <w:pPr>
        <w:spacing w:after="180" w:line="276"/>
        <w:jc w:val="both"/>
      </w:pPr>
      <w:r>
        <w:rPr>
          <w:rFonts w:ascii="Calibri" w:cs="Calibri" w:eastAsia="Calibri" w:hAnsi="Calibri"/>
          <w:sz w:val="22"/>
          <w:szCs w:val="22"/>
        </w:rPr>
        <w:t xml:space="preserve">Acceptance is judged on the same two-course, hundred-firm diagnostic, reported per course, with minimum, median, maximum, and coefficient of variation for each metric as before.</w:t>
      </w:r>
    </w:p>
    <w:p>
      <w:pPr>
        <w:spacing w:after="180" w:line="276"/>
        <w:jc w:val="both"/>
      </w:pPr>
      <w:r>
        <w:rPr>
          <w:rFonts w:ascii="Calibri" w:cs="Calibri" w:eastAsia="Calibri" w:hAnsi="Calibri"/>
          <w:sz w:val="22"/>
          <w:szCs w:val="22"/>
        </w:rPr>
        <w:t xml:space="preserve">Q3 net revenue is the primary criterion and its coefficient of variation must fall between 3.0 and 8.0 percent in both courses. The floor is what makes firms visibly different; the ceiling keeps inherited luck from swamping decision quality once students take over at Q4, which would defeat the purpose of the warm-up in the opposite direction. Alongside the ratio, the spread between the lowest and highest Q3 net revenue across the hundred firms must be at least 10 percent of the median, which is the plain-language version of the same test and the one a faculty member would actually apply by looking at two firms side by side.</w:t>
      </w:r>
    </w:p>
    <w:p>
      <w:pPr>
        <w:spacing w:after="180" w:line="276"/>
        <w:jc w:val="both"/>
      </w:pPr>
      <w:r>
        <w:rPr>
          <w:rFonts w:ascii="Calibri" w:cs="Calibri" w:eastAsia="Calibri" w:hAnsi="Calibri"/>
          <w:sz w:val="22"/>
          <w:szCs w:val="22"/>
        </w:rPr>
        <w:t xml:space="preserve">Q3 retained earnings is the secondary criterion, replacing ending equity, and its coefficient of variation must be at least 3.0 percent in both courses. If any firm ends Q3 with retained earnings at or below zero, the coefficient of variation is not meaningful and Codex reports the distribution and stops rather than computing a ratio on a denominator near zero. Q3 ending cash must show a coefficient of variation of at least 2.0 percent in both courses. Ending equity is still reported for continuity with the prior run but is not judged.</w:t>
      </w:r>
    </w:p>
    <w:p>
      <w:pPr>
        <w:pStyle w:val="Heading1"/>
        <w:spacing w:after="160" w:before="320"/>
      </w:pPr>
      <w:r>
        <w:rPr>
          <w:rFonts w:ascii="Calibri" w:cs="Calibri" w:eastAsia="Calibri" w:hAnsi="Calibri"/>
          <w:b/>
          <w:bCs/>
          <w:color w:val="1F2A44"/>
          <w:sz w:val="26"/>
          <w:szCs w:val="26"/>
        </w:rPr>
        <w:t xml:space="preserve">6. Guards that hold regardless of dispersion</w:t>
      </w:r>
    </w:p>
    <w:p>
      <w:pPr>
        <w:spacing w:after="180" w:line="276"/>
        <w:jc w:val="both"/>
      </w:pPr>
      <w:r>
        <w:rPr>
          <w:rFonts w:ascii="Calibri" w:cs="Calibri" w:eastAsia="Calibri" w:hAnsi="Calibri"/>
          <w:sz w:val="22"/>
          <w:szCs w:val="22"/>
        </w:rPr>
        <w:t xml:space="preserve">Amendment 1 Section 1 recorded zero borrowing cases, zero borrowing-limit binding cases, and zero residual negative-cash cases across 6,000 warm-up observations, and that finding is a condition of the current design rather than an incidental result. Raising the standard deviation could push weaker firms into the financing path during the warm-up. If any warm-up firm in the accepted run draws debt, binds the borrowing limit, or reaches an overdraft, Codex stops and reports rather than accepting the rung. Warm-up firms arriving in distress before students have made a single decision is an economic-difficulty change and routes through me.</w:t>
      </w:r>
    </w:p>
    <w:p>
      <w:pPr>
        <w:spacing w:after="180" w:line="276"/>
        <w:jc w:val="both"/>
      </w:pPr>
      <w:r>
        <w:rPr>
          <w:rFonts w:ascii="Calibri" w:cs="Calibri" w:eastAsia="Calibri" w:hAnsi="Calibri"/>
          <w:sz w:val="22"/>
          <w:szCs w:val="22"/>
        </w:rPr>
        <w:t xml:space="preserve">All accounting identity checks and all Phase 4 plausibility validations must pass for every firm and every warm-up quarter in both courses at the accepted value. Reproducibility must hold: the same course seed produces the same firms across runs, verified by rerunning one course and comparing. If any of these fail, the rung is rejected regardless of how good the dispersion numbers look.</w:t>
      </w:r>
    </w:p>
    <w:p>
      <w:pPr>
        <w:pStyle w:val="Heading1"/>
        <w:spacing w:after="160" w:before="320"/>
      </w:pPr>
      <w:r>
        <w:rPr>
          <w:rFonts w:ascii="Calibri" w:cs="Calibri" w:eastAsia="Calibri" w:hAnsi="Calibri"/>
          <w:b/>
          <w:bCs/>
          <w:color w:val="1F2A44"/>
          <w:sz w:val="26"/>
          <w:szCs w:val="26"/>
        </w:rPr>
        <w:t xml:space="preserve">7. Overdraft oracle-key correction</w:t>
      </w:r>
    </w:p>
    <w:p>
      <w:pPr>
        <w:spacing w:after="180" w:line="276"/>
        <w:jc w:val="both"/>
      </w:pPr>
      <w:r>
        <w:rPr>
          <w:rFonts w:ascii="Calibri" w:cs="Calibri" w:eastAsia="Calibri" w:hAnsi="Calibri"/>
          <w:sz w:val="22"/>
          <w:szCs w:val="22"/>
        </w:rPr>
        <w:t xml:space="preserve">The pending focused-run failure, where the Phase 3 oracle test does not yet carry the new overdraft fields, is corrected after the dispersion decision is settled and before final Phase 5 verification. It is not corrected in parallel, because a dispersion rung that changes the numbers underneath a half-updated oracle makes both problems harder to read.</w:t>
      </w:r>
    </w:p>
    <w:p>
      <w:pPr>
        <w:spacing w:after="180" w:line="276"/>
        <w:jc w:val="both"/>
      </w:pPr>
      <w:r>
        <w:rPr>
          <w:rFonts w:ascii="Calibri" w:cs="Calibri" w:eastAsia="Calibri" w:hAnsi="Calibri"/>
          <w:sz w:val="22"/>
          <w:szCs w:val="22"/>
        </w:rPr>
        <w:t xml:space="preserve">The correction adds the new overdraft fields to the oracle with explicit expected values. It must not be closed by relaxing the key comparison to tolerate unknown or missing keys. A loosened oracle is the same defect as the permissive negative-cash assertion Amendment 1 removed, with the difference that it would be permanent and invisible rather than sitting in one test where someone can see it. Final Phase 5 verification requires the full suite green with the oracle strict.</w:t>
      </w:r>
    </w:p>
    <w:p>
      <w:pPr>
        <w:pStyle w:val="Heading1"/>
        <w:spacing w:after="160" w:before="320"/>
      </w:pPr>
      <w:r>
        <w:rPr>
          <w:rFonts w:ascii="Calibri" w:cs="Calibri" w:eastAsia="Calibri" w:hAnsi="Calibri"/>
          <w:b/>
          <w:bCs/>
          <w:color w:val="1F2A44"/>
          <w:sz w:val="26"/>
          <w:szCs w:val="26"/>
        </w:rPr>
        <w:t xml:space="preserve">8. Sequence and hold</w:t>
      </w:r>
    </w:p>
    <w:p>
      <w:pPr>
        <w:spacing w:after="180" w:line="276"/>
        <w:jc w:val="both"/>
      </w:pPr>
      <w:r>
        <w:rPr>
          <w:rFonts w:ascii="Calibri" w:cs="Calibri" w:eastAsia="Calibri" w:hAnsi="Calibri"/>
          <w:sz w:val="22"/>
          <w:szCs w:val="22"/>
        </w:rPr>
        <w:t xml:space="preserve">Codex does not resume editing until this amendment is locked, and the existing partial Phase 5 work stays untouched until then. The deterministic Box-Muller generator, the warm-up orchestration contracts and service, and the one-firm queued-job shell are all sound and are kept. Work in progress should be committed to a branch rather than left sitting uncommitted on a workstation, with nothing merged and Phase 5 unsigned.</w:t>
      </w:r>
    </w:p>
    <w:p>
      <w:pPr>
        <w:spacing w:after="180" w:line="276"/>
        <w:jc w:val="both"/>
      </w:pPr>
      <w:r>
        <w:rPr>
          <w:rFonts w:ascii="Calibri" w:cs="Calibri" w:eastAsia="Calibri" w:hAnsi="Calibri"/>
          <w:sz w:val="22"/>
          <w:szCs w:val="22"/>
        </w:rPr>
        <w:t xml:space="preserve">Once locked, the order is: apply the primary standard deviation, run the two-course diagnostic, step the ladder only if required, report every rung, then correct the oracle, then run final verification. Phase 5 sign-off requires the original definition of done, the four additions from Amendment 1, and the acceptance criteria and guards above, all passing explicitly.</w:t>
      </w:r>
    </w:p>
    <w:p>
      <w:pPr>
        <w:pBdr>
          <w:bottom w:val="single" w:color="B8C0CC" w:sz="6" w:space="6"/>
        </w:pBdr>
        <w:spacing w:after="200" w:before="60"/>
      </w:pPr>
      <w:r>
        <w:rPr>
          <w:rFonts w:ascii="Calibri" w:cs="Calibri" w:eastAsia="Calibri" w:hAnsi="Calibri"/>
          <w:sz w:val="22"/>
          <w:szCs w:val="22"/>
        </w:rPr>
        <w:t xml:space="preserve"/>
      </w:r>
    </w:p>
    <w:p>
      <w:pPr>
        <w:spacing w:after="180" w:line="276"/>
        <w:jc w:val="both"/>
      </w:pPr>
      <w:r>
        <w:rPr>
          <w:rFonts w:ascii="Calibri" w:cs="Calibri" w:eastAsia="Calibri" w:hAnsi="Calibri"/>
          <w:i/>
          <w:iCs/>
          <w:color w:val="5A6678"/>
          <w:sz w:val="20"/>
          <w:szCs w:val="20"/>
        </w:rPr>
        <w:t xml:space="preserve">Amendment 1 remains in force except for its Section 4, which this amendment supersedes. The original Phase 5 instructions govern everywhere neither amendment substitutes.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A94A6"/>
        <w:sz w:val="16"/>
        <w:szCs w:val="16"/>
      </w:rPr>
      <w:t xml:space="preserve">One Smarter, Inc.  |  August 3, 2026  |  Page </w:t>
    </w:r>
    <w:r>
      <w:rPr>
        <w:rFonts w:ascii="Calibri" w:cs="Calibri" w:eastAsia="Calibri" w:hAnsi="Calibri"/>
        <w:color w:val="8A94A6"/>
        <w:sz w:val="16"/>
        <w:szCs w:val="16"/>
      </w:rPr>
      <w:fldChar w:fldCharType="begin"/>
      <w:instrText xml:space="preserve">PAGE</w:instrText>
      <w:fldChar w:fldCharType="separate"/>
      <w:fldChar w:fldCharType="end"/>
    </w:r>
    <w:r>
      <w:rPr>
        <w:rFonts w:ascii="Calibri" w:cs="Calibri" w:eastAsia="Calibri" w:hAnsi="Calibri"/>
        <w:color w:val="8A94A6"/>
        <w:sz w:val="16"/>
        <w:szCs w:val="16"/>
      </w:rPr>
      <w:t xml:space="preserve"> of </w:t>
    </w:r>
    <w:r>
      <w:rPr>
        <w:rFonts w:ascii="Calibri" w:cs="Calibri" w:eastAsia="Calibri" w:hAnsi="Calibri"/>
        <w:color w:val="8A94A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AE2" w:sz="4" w:space="4"/>
      </w:pBdr>
      <w:spacing w:after="100"/>
    </w:pPr>
    <w:r>
      <w:rPr>
        <w:rFonts w:ascii="Calibri" w:cs="Calibri" w:eastAsia="Calibri" w:hAnsi="Calibri"/>
        <w:color w:val="8A94A6"/>
        <w:sz w:val="16"/>
        <w:szCs w:val="16"/>
      </w:rPr>
      <w:t xml:space="preserve">CF Manufacturing Rebuild — Phase 5 Instructions — Amendment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CF Manufacturing Rebuild — Phase 5 Instructions — Amendment 2</dc:title>
  <dc:creator>One Smarter, Inc.</dc:creator>
  <dc:description>Amendment 2: warm-up dispersion calibration</dc:description>
  <cp:lastModifiedBy>Un-named</cp:lastModifiedBy>
  <cp:revision>1</cp:revision>
  <dcterms:created xsi:type="dcterms:W3CDTF">2026-08-03T06:23:05.865Z</dcterms:created>
  <dcterms:modified xsi:type="dcterms:W3CDTF">2026-08-03T06:23:05.878Z</dcterms:modified>
</cp:coreProperties>
</file>

<file path=docProps/custom.xml><?xml version="1.0" encoding="utf-8"?>
<Properties xmlns="http://schemas.openxmlformats.org/officeDocument/2006/custom-properties" xmlns:vt="http://schemas.openxmlformats.org/officeDocument/2006/docPropsVTypes"/>
</file>