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Spreadsheets to Shared Records: How Three Small Manufacturers Adopted Cloud ERP</w:t>
      </w:r>
    </w:p>
    <w:p>
      <w:r>
        <w:t>Test manuscript prepared for the Flexee production end-to-end check. The firms and figures are illustrative and do not describe real companies.</w:t>
      </w:r>
    </w:p>
    <w:p>
      <w:r>
        <w:t>Corresponding author: Flexee E2E Test Author</w:t>
      </w:r>
    </w:p>
    <w:p>
      <w:pPr>
        <w:pStyle w:val="Heading1"/>
      </w:pPr>
      <w:r>
        <w:t>Abstract</w:t>
      </w:r>
    </w:p>
    <w:p>
      <w:r>
        <w:t>Small manufacturers often run operations on spreadsheets long after they have outgrown them. This paper follows three firms with between 40 and 120 employees through their first eighteen months on a cloud enterprise resource planning (ERP) system. Using a multiple case design with 27 interviews and document review, we find that adoption succeeded where firms treated shared records, not software features, as the goal. Two practices separated the smoother adoptions from the difficult one: naming a single owner for each master data domain before go-live, and keeping one familiar spreadsheet report alive for the first quarter as a bridge. We contribute a practice-level account of small-firm ERP adoption and offer a short checklist for managers planning a similar move.</w:t>
      </w:r>
    </w:p>
    <w:p>
      <w:r>
        <w:t>Keywords: enterprise systems, ERP adoption, small and medium enterprises, master data, case study, practice</w:t>
      </w:r>
    </w:p>
    <w:p>
      <w:pPr>
        <w:pStyle w:val="Heading1"/>
      </w:pPr>
      <w:r>
        <w:t>Introduction</w:t>
      </w:r>
    </w:p>
    <w:p>
      <w:r>
        <w:t>Enterprise resource planning systems promise a single, shared record of orders, inventory and money. For large firms the challenges of adopting them are well documented. Small manufacturers face the same promise with fewer people, thinner budgets and less tolerance for disruption. Many of them run critical work in spreadsheets that were built by one person and are understood by few others.</w:t>
      </w:r>
    </w:p>
    <w:p>
      <w:r>
        <w:t>Cloud ERP products have lowered the entry cost, so the question for a small firm has shifted from whether it can afford a system to whether it can change how people work around shared data. Prior research explains individual acceptance of technology (Davis, 1989; Venkatesh et al., 2003) and the phases of an enterprise system project (Markus &amp; Tanis, 2000). Less is known about the everyday practices that let a small firm move from private spreadsheets to records that everyone trusts.</w:t>
      </w:r>
    </w:p>
    <w:p>
      <w:r>
        <w:t>This paper asks a practical question: what did small manufacturers actually do, in the months around go-live, that made the move to shared records succeed or stall? We answer it with a close look at three firms that adopted the same class of cloud ERP within the same year.</w:t>
      </w:r>
    </w:p>
    <w:p>
      <w:pPr>
        <w:pStyle w:val="Heading1"/>
      </w:pPr>
      <w:r>
        <w:t>Background</w:t>
      </w:r>
    </w:p>
    <w:p>
      <w:r>
        <w:t>The information systems success model (DeLone &amp; McLean, 2003) links system quality, information quality and service quality to use, satisfaction and net benefits. In small firms, information quality is often the weak link. Item codes, customer names and bills of materials exist in several versions, each maintained by a different person. A new system inherits these conflicts on day one.</w:t>
      </w:r>
    </w:p>
    <w:p>
      <w:r>
        <w:t>Markus and Tanis (2000) describe an enterprise system experience in four phases: chartering, project, shakedown and onward-and-upward. Most of the trouble they report appears in the shakedown phase, when the organisation first depends on the system for real work. Small firms reach shakedown quickly because their projects are short, which makes the practices used in the first weeks after go-live especially important.</w:t>
      </w:r>
    </w:p>
    <w:p>
      <w:r>
        <w:t>Acceptance models suggest that perceived usefulness and ease of use drive intention to use a system (Davis, 1989). In our setting, use was mandatory once the old tools were retired, so the more relevant question is not whether people used the system but whether they trusted what it told them.</w:t>
      </w:r>
    </w:p>
    <w:p>
      <w:pPr>
        <w:pStyle w:val="Heading1"/>
      </w:pPr>
      <w:r>
        <w:t>Method</w:t>
      </w:r>
    </w:p>
    <w:p>
      <w:r>
        <w:t>We used a multiple case design (Yin, 2018; Eisenhardt, 1989) to compare three manufacturers that adopted cloud ERP between January and June of the same year. The firms made metal components (Firm A, 40 employees), packaging (Firm B, 75 employees) and small electrical assemblies (Firm C, 120 employees).</w:t>
      </w:r>
    </w:p>
    <w:p>
      <w:r>
        <w:t>We conducted 27 semi-structured interviews with owners, operations managers, planners, warehouse staff and finance staff, at roughly three, nine and fifteen months after go-live. Interviews lasted 35 to 70 minutes. We also reviewed project plans, data migration logs and the reports each firm used for weekly planning.</w:t>
      </w:r>
    </w:p>
    <w:p>
      <w:r>
        <w:t>Two researchers coded the transcripts independently, first with descriptive codes and then with codes for practices around data ownership, reporting and workarounds. Disagreements were resolved by discussion. We then compared the three cases to find practices that differed between smoother and harder adoptions.</w:t>
      </w:r>
    </w:p>
    <w:p>
      <w:pPr>
        <w:pStyle w:val="Heading1"/>
      </w:pPr>
      <w:r>
        <w:t>Findings</w:t>
      </w:r>
    </w:p>
    <w:p>
      <w:r>
        <w:t>Firm A and Firm B reported that the system was trusted for daily planning within three months. Firm C, the largest, still reconciled inventory against a spreadsheet nine months after go-live. Two practices explain most of the difference.</w:t>
      </w:r>
    </w:p>
    <w:p>
      <w:pPr>
        <w:pStyle w:val="Heading2"/>
      </w:pPr>
      <w:r>
        <w:t>Named owners for master data</w:t>
      </w:r>
    </w:p>
    <w:p>
      <w:r>
        <w:t>Before go-live, Firms A and B each named one person as the owner of item data, one for customer data and one for bills of materials. Owners approved every change in their domain for the first six months. In Firm C, any planner could create or edit items, and within two months the system held 340 duplicate item codes. A planner at Firm C said that the team "stopped believing the stock figure, so we went back to counting."</w:t>
      </w:r>
    </w:p>
    <w:p>
      <w:pPr>
        <w:pStyle w:val="Heading2"/>
      </w:pPr>
      <w:r>
        <w:t>A bridge report for the first quarter</w:t>
      </w:r>
    </w:p>
    <w:p>
      <w:r>
        <w:t>Firms A and B kept one familiar spreadsheet report, rebuilt from system data, for the first quarter. Staff could compare old and new numbers side by side and raise questions early. Firm C switched off every spreadsheet on go-live day. Staff reported that they had no way to check whether the system was right, so they built private copies, which then drifted away from the shared record.</w:t>
      </w:r>
    </w:p>
    <w:p>
      <w:pPr>
        <w:pStyle w:val="Heading2"/>
      </w:pPr>
      <w:r>
        <w:t>What did not matter as much as expected</w:t>
      </w:r>
    </w:p>
    <w:p>
      <w:r>
        <w:t>Training hours were similar across the three firms, and differences in the vendor's support were small. Feature gaps were mentioned often but rarely caused lasting problems; staff found simple workarounds. The decisive issues were about who owned the data and how people could check it.</w:t>
      </w:r>
    </w:p>
    <w:p>
      <w:pPr>
        <w:pStyle w:val="Heading1"/>
      </w:pPr>
      <w:r>
        <w:t>Discussion</w:t>
      </w:r>
    </w:p>
    <w:p>
      <w:r>
        <w:t>Our findings place information quality at the centre of small-firm ERP adoption, in line with DeLone and McLean (2003), and locate the critical moment in the shakedown phase described by Markus and Tanis (2000). They add two practices that are cheap, specific and within reach of a small firm.</w:t>
      </w:r>
    </w:p>
    <w:p>
      <w:r>
        <w:t>For managers, the lesson is to plan for trust rather than for features. Name an owner for each kind of master data before go-live, and give people one bridge report that lets them check the new numbers against the old ones. Both practices cost little and both were missing in the firm that struggled.</w:t>
      </w:r>
    </w:p>
    <w:p>
      <w:r>
        <w:t>The study has limits. Three cases cannot establish how common these practices are, and all three firms used the same class of cloud product. Future work could test the two practices across a larger sample of small manufacturers and in service firms.</w:t>
      </w:r>
    </w:p>
    <w:p>
      <w:pPr>
        <w:pStyle w:val="Heading1"/>
      </w:pPr>
      <w:r>
        <w:t>Conclusion</w:t>
      </w:r>
    </w:p>
    <w:p>
      <w:r>
        <w:t>Small manufacturers moving from spreadsheets to cloud ERP succeed when they treat shared, trusted records as the goal. Naming data owners before go-live and keeping a short-lived bridge report were the clearest differences between smoother and harder adoptions in our cases.</w:t>
      </w:r>
    </w:p>
    <w:p>
      <w:pPr>
        <w:pStyle w:val="Heading1"/>
      </w:pPr>
      <w:r>
        <w:t>Data availability statement</w:t>
      </w:r>
    </w:p>
    <w:p>
      <w:r>
        <w:t>The interview protocol and the coded summary tables used in this manuscript are available from the corresponding author on reasonable request. Interview transcripts are not shared because participants were promised confidentiality.</w:t>
      </w:r>
    </w:p>
    <w:p>
      <w:pPr>
        <w:pStyle w:val="Heading1"/>
      </w:pPr>
      <w:r>
        <w:t>AI-use statement</w:t>
      </w:r>
    </w:p>
    <w:p>
      <w:r>
        <w:t>A generative AI tool was used to check grammar and formatting. All research design, analysis and conclusions are the work of the human authors, who take full responsibility for the content.</w:t>
      </w:r>
    </w:p>
    <w:p>
      <w:pPr>
        <w:pStyle w:val="Heading1"/>
      </w:pPr>
      <w:r>
        <w:t>References</w:t>
      </w:r>
    </w:p>
    <w:p>
      <w:r>
        <w:t>Davis, F. D. (1989). Perceived usefulness, perceived ease of use, and user acceptance of information technology. MIS Quarterly, 13(3), 319-340.</w:t>
      </w:r>
    </w:p>
    <w:p>
      <w:r>
        <w:t>DeLone, W. H., &amp; McLean, E. R. (2003). The DeLone and McLean model of information systems success: A ten-year update. Journal of Management Information Systems, 19(4), 9-30.</w:t>
      </w:r>
    </w:p>
    <w:p>
      <w:r>
        <w:t>Eisenhardt, K. M. (1989). Building theories from case study research. Academy of Management Review, 14(4), 532-550.</w:t>
      </w:r>
    </w:p>
    <w:p>
      <w:r>
        <w:t>Markus, M. L., &amp; Tanis, C. (2000). The enterprise system experience: From adoption to success. In R. W. Zmud (Ed.), Framing the domains of IT management (pp. 173-207). Pinnaflex.</w:t>
      </w:r>
    </w:p>
    <w:p>
      <w:r>
        <w:t>Venkatesh, V., Morris, M. G., Davis, G. B., &amp; Davis, F. D. (2003). User acceptance of information technology: Toward a unified view. MIS Quarterly, 27(3), 425-478.</w:t>
      </w:r>
    </w:p>
    <w:p>
      <w:r>
        <w:t>Yin, R. K. (2018). Case study research and applications: Design and methods (6th ed.). 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