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Records: A Practical Guide to Enterprise Systems for Small Manufacturers</w:t>
      </w:r>
    </w:p>
    <w:p>
      <w:r>
        <w:t>Book proposal and sample chapters. Test manuscript prepared for the Flexee production end-to-end check; examples are illustrative.</w:t>
      </w:r>
    </w:p>
    <w:p>
      <w:pPr>
        <w:pStyle w:val="Heading1"/>
      </w:pPr>
      <w:r>
        <w:t>Abstract</w:t>
      </w:r>
    </w:p>
    <w:p>
      <w:r>
        <w:t>This book is a practical guide for owners and managers of small manufacturing firms who are moving from spreadsheets to an enterprise system. It treats shared, trusted records as the goal and software as the means. Across nine planned chapters it covers recognising the limits of spreadsheets, choosing a system around the firm's core records, migrating data, and the practices that build trust in the first ninety days after go-live. This manuscript contains the proposal and the first three chapters.</w:t>
      </w:r>
    </w:p>
    <w:p>
      <w:r>
        <w:t>Keywords: enterprise systems, ERP, small manufacturers, master data, implementation, management practice</w:t>
      </w:r>
    </w:p>
    <w:p>
      <w:pPr>
        <w:pStyle w:val="Heading1"/>
      </w:pPr>
      <w:r>
        <w:t>Book Proposal</w:t>
      </w:r>
    </w:p>
    <w:p>
      <w:r>
        <w:t>Audience: owners, operations managers and finance leads in firms of 20 to 250 employees, and instructors teaching enterprise systems to business students.</w:t>
      </w:r>
    </w:p>
    <w:p>
      <w:r>
        <w:t>Planned length: nine chapters, about 60,000 words. Chapters 1 to 3 are included here.</w:t>
      </w:r>
    </w:p>
    <w:p>
      <w:r>
        <w:t>What makes it different: most books on enterprise systems assume a large project team. This book is written for firms where the project team is two or three people who also have day jobs.</w:t>
      </w:r>
    </w:p>
    <w:p>
      <w:pPr>
        <w:pStyle w:val="Heading1"/>
      </w:pPr>
      <w:r>
        <w:t>Chapter 1: Why Small Firms Struggle with Shared Data</w:t>
      </w:r>
    </w:p>
    <w:p>
      <w:r>
        <w:t>Every small firm starts with the tools at hand. A spreadsheet tracks orders, another tracks stock, and a third, kept by the finance lead, tracks what customers owe. For a while this works, because the people who built the spreadsheets are also the people who use them.</w:t>
      </w:r>
    </w:p>
    <w:p>
      <w:r>
        <w:t>Problems appear as the firm grows. New staff do not know which file is current. Two people update the same customer in different places. A count in the warehouse disagrees with the number in the planning sheet, and nobody can say which one is right.</w:t>
      </w:r>
    </w:p>
    <w:p>
      <w:r>
        <w:t>This chapter describes the common symptoms of this stage: duplicate records, private copies, end-of-month reconciliation marathons and decisions made on numbers that nobody fully trusts. It argues that these are not technology problems. They are problems of ownership and agreement about data.</w:t>
      </w:r>
    </w:p>
    <w:p>
      <w:r>
        <w:t>The chapter closes with a simple self-assessment that a manager can complete in an hour. It asks who owns each important list in the business, how changes to it are made, and how often two versions disagree.</w:t>
      </w:r>
    </w:p>
    <w:p>
      <w:pPr>
        <w:pStyle w:val="Heading1"/>
      </w:pPr>
      <w:r>
        <w:t>Chapter 2: Choosing a System Without Losing the Plot</w:t>
      </w:r>
    </w:p>
    <w:p>
      <w:r>
        <w:t>Once a firm decides to move to a shared system, attention turns to products. Vendors demonstrate features, and it is easy to compare systems on the length of their feature lists. This chapter suggests a different starting point: the five or six records that the business cannot run without.</w:t>
      </w:r>
    </w:p>
    <w:p>
      <w:r>
        <w:t>For a small manufacturer these are usually items, bills of materials, customers, suppliers, orders and stock. The chapter shows how to write a one-page description of each record: what it contains, who creates it, who changes it and who relies on it. These pages become the real requirements for the selection.</w:t>
      </w:r>
    </w:p>
    <w:p>
      <w:r>
        <w:t>The chapter then walks through a short selection process built on those pages, with scripted demonstrations in which each vendor must create, change and report on the firm's own sample records. It ends with advice on contracts, data export rights and the cost of support in the first year.</w:t>
      </w:r>
    </w:p>
    <w:p>
      <w:pPr>
        <w:pStyle w:val="Heading1"/>
      </w:pPr>
      <w:r>
        <w:t>Chapter 3: The First Ninety Days After Go-Live</w:t>
      </w:r>
    </w:p>
    <w:p>
      <w:r>
        <w:t>The first three months after a system goes live decide whether people will trust it. This chapter gathers practical advice for that period, drawn from the experience of small manufacturers.</w:t>
      </w:r>
    </w:p>
    <w:p>
      <w:r>
        <w:t>The first practice is to name an owner for each master record before go-live and to give that person the final say on changes for at least six months. The second is to keep one familiar report alive as a bridge, rebuilt from the new system, so that staff can compare old and new numbers and raise questions early.</w:t>
      </w:r>
    </w:p>
    <w:p>
      <w:r>
        <w:t>The chapter also covers how to run a weekly data review meeting, how to retire private spreadsheets without forcing people underground, and how to tell the difference between a real missing feature and a habit that needs to change. It ends with a ninety-day checklist that managers can copy into their own plans.</w:t>
      </w:r>
    </w:p>
    <w:p>
      <w:pPr>
        <w:pStyle w:val="Heading1"/>
      </w:pPr>
      <w:r>
        <w:t>Data availability statement</w:t>
      </w:r>
    </w:p>
    <w:p>
      <w:r>
        <w:t>The interview protocol and the coded summary tables used in this manuscript are available from the corresponding author on reasonable request. Interview transcripts are not shared because participants were promised confidentiality.</w:t>
      </w:r>
    </w:p>
    <w:p>
      <w:pPr>
        <w:pStyle w:val="Heading1"/>
      </w:pPr>
      <w:r>
        <w:t>AI-use statement</w:t>
      </w:r>
    </w:p>
    <w:p>
      <w:r>
        <w:t>A generative AI tool was used to check grammar and formatting. All research design, analysis and conclusions are the work of the human authors, who take full responsibility for the content.</w:t>
      </w:r>
    </w:p>
    <w:p>
      <w:pPr>
        <w:pStyle w:val="Heading1"/>
      </w:pPr>
      <w:r>
        <w:t>References</w:t>
      </w:r>
    </w:p>
    <w:p>
      <w:r>
        <w:t>Davis, F. D. (1989). Perceived usefulness, perceived ease of use, and user acceptance of information technology. MIS Quarterly, 13(3), 319-340.</w:t>
      </w:r>
    </w:p>
    <w:p>
      <w:r>
        <w:t>DeLone, W. H., &amp; McLean, E. R. (2003). The DeLone and McLean model of information systems success: A ten-year update. Journal of Management Information Systems, 19(4), 9-30.</w:t>
      </w:r>
    </w:p>
    <w:p>
      <w:r>
        <w:t>Eisenhardt, K. M. (1989). Building theories from case study research. Academy of Management Review, 14(4), 532-550.</w:t>
      </w:r>
    </w:p>
    <w:p>
      <w:r>
        <w:t>Markus, M. L., &amp; Tanis, C. (2000). The enterprise system experience: From adoption to success. In R. W. Zmud (Ed.), Framing the domains of IT management (pp. 173-207). Pinnaflex.</w:t>
      </w:r>
    </w:p>
    <w:p>
      <w:r>
        <w:t>Venkatesh, V., Morris, M. G., Davis, G. B., &amp; Davis, F. D. (2003). User acceptance of information technology: Toward a unified view. MIS Quarterly, 27(3), 425-478.</w:t>
      </w:r>
    </w:p>
    <w:p>
      <w:r>
        <w:t>Yin, R. K. (2018). Case study research and applications: Design and methods (6th ed.). 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