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 w:after="0" w:afterLines="0" w:line="240" w:lineRule="auto"/>
        <w:jc w:val="center"/>
        <w:rPr>
          <w:rFonts w:hint="eastAsia" w:ascii="黑体" w:eastAsia="黑体"/>
          <w:b w:val="0"/>
          <w:sz w:val="21"/>
          <w:szCs w:val="21"/>
        </w:rPr>
      </w:pPr>
      <w:bookmarkStart w:id="0" w:name="_Toc296956188"/>
      <w:bookmarkStart w:id="1" w:name="_Toc310952769"/>
      <w:r>
        <w:rPr>
          <w:rFonts w:hint="eastAsia" w:ascii="黑体" w:eastAsia="黑体"/>
          <w:b w:val="0"/>
          <w:sz w:val="21"/>
          <w:szCs w:val="21"/>
        </w:rPr>
        <w:t>可燃物质释放事件树及</w:t>
      </w:r>
      <w:r>
        <w:rPr>
          <w:rFonts w:ascii="黑体" w:eastAsia="黑体"/>
          <w:b w:val="0"/>
          <w:sz w:val="21"/>
          <w:szCs w:val="21"/>
        </w:rPr>
        <w:t>点火概率</w:t>
      </w:r>
      <w:bookmarkEnd w:id="0"/>
      <w:bookmarkEnd w:id="1"/>
    </w:p>
    <w:p>
      <w:pPr>
        <w:pStyle w:val="3"/>
        <w:spacing w:before="312" w:beforeLines="100" w:after="312" w:afterLines="100" w:line="240" w:lineRule="auto"/>
        <w:rPr>
          <w:rFonts w:hint="eastAsia" w:ascii="黑体" w:hAnsi="Times New Roman"/>
          <w:b w:val="0"/>
          <w:sz w:val="21"/>
          <w:szCs w:val="21"/>
        </w:rPr>
      </w:pPr>
      <w:bookmarkStart w:id="2" w:name="_Toc242932979"/>
      <w:bookmarkStart w:id="3" w:name="_Toc242934052"/>
      <w:bookmarkStart w:id="4" w:name="_Toc286131474"/>
      <w:bookmarkStart w:id="5" w:name="_Toc257094850"/>
      <w:bookmarkStart w:id="6" w:name="_Toc310769368"/>
      <w:bookmarkStart w:id="7" w:name="_Toc247531529"/>
      <w:bookmarkStart w:id="8" w:name="_Toc257050843"/>
      <w:bookmarkStart w:id="9" w:name="_Toc242934171"/>
      <w:bookmarkStart w:id="10" w:name="_Toc296956189"/>
      <w:bookmarkStart w:id="11" w:name="_Toc286132461"/>
      <w:bookmarkStart w:id="12" w:name="_Toc310952770"/>
      <w:r>
        <w:rPr>
          <w:rFonts w:hint="eastAsia" w:ascii="黑体" w:hAnsi="Times New Roman"/>
          <w:b w:val="0"/>
          <w:sz w:val="21"/>
          <w:szCs w:val="21"/>
        </w:rPr>
        <w:t>G.1 可燃物质释放事件树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G.1.1 可燃气体瞬时释放</w:t>
      </w:r>
    </w:p>
    <w:p>
      <w:pPr>
        <w:jc w:val="center"/>
        <w:rPr>
          <w:rFonts w:hint="eastAsia" w:eastAsia="黑体"/>
          <w:szCs w:val="32"/>
        </w:rPr>
      </w:pPr>
    </w:p>
    <w:p>
      <w:pPr>
        <w:jc w:val="center"/>
        <w:rPr>
          <w:rFonts w:hint="eastAsia" w:eastAsia="黑体"/>
          <w:szCs w:val="32"/>
        </w:rPr>
      </w:pPr>
      <w:r>
        <w:object>
          <v:shape id="_x0000_i1025" o:spt="75" type="#_x0000_t75" style="height:204.75pt;width:471.2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ascii="黑体" w:eastAsia="黑体"/>
          <w:bCs/>
          <w:kern w:val="44"/>
          <w:szCs w:val="21"/>
        </w:rPr>
      </w:pPr>
      <w:bookmarkStart w:id="13" w:name="_Toc310769369"/>
      <w:bookmarkStart w:id="14" w:name="_Toc296956190"/>
      <w:bookmarkStart w:id="15" w:name="_Toc310952771"/>
      <w:r>
        <w:rPr>
          <w:rFonts w:ascii="黑体" w:eastAsia="黑体"/>
          <w:bCs/>
          <w:kern w:val="44"/>
          <w:szCs w:val="21"/>
        </w:rPr>
        <w:t>图</w:t>
      </w:r>
      <w:r>
        <w:rPr>
          <w:rFonts w:hint="eastAsia" w:ascii="黑体" w:eastAsia="黑体"/>
          <w:bCs/>
          <w:kern w:val="44"/>
          <w:szCs w:val="21"/>
        </w:rPr>
        <w:t>G</w:t>
      </w:r>
      <w:r>
        <w:rPr>
          <w:rFonts w:ascii="黑体" w:eastAsia="黑体"/>
          <w:bCs/>
          <w:kern w:val="44"/>
          <w:szCs w:val="21"/>
        </w:rPr>
        <w:t xml:space="preserve">.1  </w:t>
      </w:r>
      <w:r>
        <w:rPr>
          <w:rFonts w:hint="eastAsia" w:ascii="黑体" w:eastAsia="黑体"/>
          <w:bCs/>
          <w:kern w:val="44"/>
          <w:szCs w:val="21"/>
        </w:rPr>
        <w:t>可燃气体瞬时释放事件树</w:t>
      </w:r>
      <w:bookmarkEnd w:id="13"/>
      <w:bookmarkEnd w:id="14"/>
      <w:bookmarkEnd w:id="15"/>
    </w:p>
    <w:p>
      <w:pPr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G.1.2 可燃气体连续释放</w:t>
      </w:r>
    </w:p>
    <w:p>
      <w:pPr>
        <w:rPr>
          <w:rFonts w:hint="eastAsia" w:eastAsia="黑体"/>
          <w:szCs w:val="21"/>
        </w:rPr>
      </w:pPr>
    </w:p>
    <w:p>
      <w:pPr>
        <w:rPr>
          <w:rFonts w:hint="eastAsia" w:eastAsia="黑体"/>
          <w:szCs w:val="21"/>
        </w:rPr>
      </w:pPr>
      <w:r>
        <w:object>
          <v:shape id="_x0000_i1026" o:spt="75" type="#_x0000_t75" style="height:142.4pt;width:479.9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ascii="黑体" w:eastAsia="黑体"/>
          <w:bCs/>
          <w:kern w:val="44"/>
          <w:szCs w:val="21"/>
        </w:rPr>
      </w:pPr>
      <w:r>
        <w:rPr>
          <w:rFonts w:ascii="黑体" w:eastAsia="黑体"/>
          <w:bCs/>
          <w:kern w:val="44"/>
          <w:szCs w:val="21"/>
        </w:rPr>
        <w:t>图</w:t>
      </w:r>
      <w:r>
        <w:rPr>
          <w:rFonts w:hint="eastAsia" w:ascii="黑体" w:eastAsia="黑体"/>
          <w:bCs/>
          <w:kern w:val="44"/>
          <w:szCs w:val="21"/>
        </w:rPr>
        <w:t>G</w:t>
      </w:r>
      <w:r>
        <w:rPr>
          <w:rFonts w:ascii="黑体" w:eastAsia="黑体"/>
          <w:bCs/>
          <w:kern w:val="44"/>
          <w:szCs w:val="21"/>
        </w:rPr>
        <w:t>.</w:t>
      </w:r>
      <w:r>
        <w:rPr>
          <w:rFonts w:hint="eastAsia" w:ascii="黑体" w:eastAsia="黑体"/>
          <w:bCs/>
          <w:kern w:val="44"/>
          <w:szCs w:val="21"/>
        </w:rPr>
        <w:t>2</w:t>
      </w:r>
      <w:r>
        <w:rPr>
          <w:rFonts w:ascii="黑体" w:eastAsia="黑体"/>
          <w:bCs/>
          <w:kern w:val="44"/>
          <w:szCs w:val="21"/>
        </w:rPr>
        <w:t xml:space="preserve">  </w:t>
      </w:r>
      <w:r>
        <w:rPr>
          <w:rFonts w:hint="eastAsia" w:ascii="黑体" w:eastAsia="黑体"/>
          <w:bCs/>
          <w:kern w:val="44"/>
          <w:szCs w:val="21"/>
        </w:rPr>
        <w:t>可燃气体连续释放事件树</w:t>
      </w:r>
    </w:p>
    <w:p>
      <w:pPr>
        <w:jc w:val="center"/>
        <w:rPr>
          <w:rFonts w:hint="eastAsia" w:eastAsia="黑体"/>
          <w:szCs w:val="32"/>
        </w:rPr>
      </w:pPr>
    </w:p>
    <w:p>
      <w:pPr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eastAsia="黑体"/>
          <w:szCs w:val="32"/>
        </w:rPr>
        <w:br w:type="page"/>
      </w:r>
      <w:r>
        <w:rPr>
          <w:rFonts w:hint="eastAsia" w:ascii="黑体" w:eastAsia="黑体"/>
          <w:szCs w:val="21"/>
        </w:rPr>
        <w:t>G.1.3 压缩液化气体瞬时释放</w:t>
      </w:r>
    </w:p>
    <w:p>
      <w:pPr>
        <w:jc w:val="center"/>
        <w:rPr>
          <w:rFonts w:hint="eastAsia" w:eastAsia="黑体"/>
          <w:szCs w:val="32"/>
        </w:rPr>
      </w:pPr>
    </w:p>
    <w:p>
      <w:pPr>
        <w:jc w:val="center"/>
        <w:rPr>
          <w:rFonts w:hint="eastAsia" w:eastAsia="黑体"/>
          <w:szCs w:val="32"/>
        </w:rPr>
      </w:pPr>
      <w:r>
        <w:object>
          <v:shape id="_x0000_i1027" o:spt="75" type="#_x0000_t75" style="height:187.95pt;width:483.9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 w:ascii="黑体" w:eastAsia="黑体"/>
          <w:bCs/>
          <w:kern w:val="44"/>
          <w:szCs w:val="21"/>
        </w:rPr>
      </w:pPr>
      <w:bookmarkStart w:id="16" w:name="_Toc296956191"/>
      <w:bookmarkStart w:id="17" w:name="_Toc310769370"/>
      <w:bookmarkStart w:id="18" w:name="_Toc310952772"/>
      <w:r>
        <w:rPr>
          <w:rFonts w:ascii="黑体" w:eastAsia="黑体"/>
          <w:bCs/>
          <w:kern w:val="44"/>
          <w:szCs w:val="21"/>
        </w:rPr>
        <w:t>图</w:t>
      </w:r>
      <w:r>
        <w:rPr>
          <w:rFonts w:hint="eastAsia" w:ascii="黑体" w:eastAsia="黑体"/>
          <w:bCs/>
          <w:kern w:val="44"/>
          <w:szCs w:val="21"/>
        </w:rPr>
        <w:t>G</w:t>
      </w:r>
      <w:r>
        <w:rPr>
          <w:rFonts w:ascii="黑体" w:eastAsia="黑体"/>
          <w:bCs/>
          <w:kern w:val="44"/>
          <w:szCs w:val="21"/>
        </w:rPr>
        <w:t>.</w:t>
      </w:r>
      <w:r>
        <w:rPr>
          <w:rFonts w:hint="eastAsia" w:ascii="黑体" w:eastAsia="黑体"/>
          <w:bCs/>
          <w:kern w:val="44"/>
          <w:szCs w:val="21"/>
        </w:rPr>
        <w:t>3</w:t>
      </w:r>
      <w:r>
        <w:rPr>
          <w:rFonts w:ascii="黑体" w:eastAsia="黑体"/>
          <w:bCs/>
          <w:kern w:val="44"/>
          <w:szCs w:val="21"/>
        </w:rPr>
        <w:t xml:space="preserve">  </w:t>
      </w:r>
      <w:r>
        <w:rPr>
          <w:rFonts w:hint="eastAsia" w:ascii="黑体" w:eastAsia="黑体"/>
          <w:bCs/>
          <w:kern w:val="44"/>
          <w:szCs w:val="21"/>
        </w:rPr>
        <w:t>压缩液化气体瞬时释放</w:t>
      </w:r>
      <w:r>
        <w:rPr>
          <w:rFonts w:ascii="黑体" w:eastAsia="黑体"/>
          <w:bCs/>
          <w:kern w:val="44"/>
          <w:szCs w:val="21"/>
        </w:rPr>
        <w:t>事件树</w:t>
      </w:r>
      <w:bookmarkEnd w:id="16"/>
      <w:bookmarkEnd w:id="17"/>
      <w:bookmarkEnd w:id="18"/>
    </w:p>
    <w:p>
      <w:pPr>
        <w:rPr>
          <w:rFonts w:hint="eastAsia"/>
        </w:rPr>
      </w:pPr>
      <w:r>
        <w:rPr>
          <w:rFonts w:hint="eastAsia" w:ascii="黑体" w:eastAsia="黑体"/>
          <w:bCs/>
          <w:kern w:val="44"/>
          <w:szCs w:val="21"/>
        </w:rPr>
        <w:t xml:space="preserve">    </w:t>
      </w:r>
      <w:r>
        <w:rPr>
          <w:rFonts w:hint="eastAsia"/>
          <w:sz w:val="18"/>
          <w:szCs w:val="18"/>
        </w:rPr>
        <w:t>注：对于压缩液化气体释放，</w:t>
      </w:r>
      <w:r>
        <w:rPr>
          <w:sz w:val="18"/>
          <w:szCs w:val="18"/>
        </w:rPr>
        <w:t>云团</w:t>
      </w:r>
      <w:r>
        <w:rPr>
          <w:rFonts w:hint="eastAsia"/>
          <w:sz w:val="18"/>
          <w:szCs w:val="18"/>
        </w:rPr>
        <w:t>可能发生</w:t>
      </w:r>
      <w:r>
        <w:rPr>
          <w:sz w:val="18"/>
          <w:szCs w:val="18"/>
        </w:rPr>
        <w:t>液滴下落到（地）表面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形成液池</w:t>
      </w:r>
      <w:r>
        <w:rPr>
          <w:rFonts w:hint="eastAsia"/>
          <w:sz w:val="18"/>
          <w:szCs w:val="18"/>
        </w:rPr>
        <w:t>，点火时可能发生池火。</w:t>
      </w:r>
    </w:p>
    <w:p>
      <w:pPr>
        <w:spacing w:before="156" w:beforeLines="50" w:after="156" w:afterLines="50"/>
        <w:rPr>
          <w:rFonts w:hint="eastAsia" w:eastAsia="黑体"/>
          <w:szCs w:val="21"/>
        </w:rPr>
      </w:pPr>
      <w:r>
        <w:rPr>
          <w:rFonts w:hint="eastAsia" w:ascii="黑体" w:eastAsia="黑体"/>
          <w:szCs w:val="21"/>
        </w:rPr>
        <w:t>G.1.4 压缩液化气体连续释放</w:t>
      </w:r>
    </w:p>
    <w:p>
      <w:pPr>
        <w:jc w:val="center"/>
        <w:rPr>
          <w:rFonts w:hint="eastAsia"/>
          <w:szCs w:val="32"/>
        </w:rPr>
      </w:pPr>
      <w:r>
        <w:object>
          <v:shape id="_x0000_i1028" o:spt="75" type="#_x0000_t75" style="height:129.9pt;width:484.25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eastAsia"/>
          <w:szCs w:val="32"/>
        </w:rPr>
      </w:pPr>
    </w:p>
    <w:p>
      <w:pPr>
        <w:jc w:val="center"/>
        <w:rPr>
          <w:rFonts w:hint="eastAsia" w:ascii="黑体" w:eastAsia="黑体"/>
          <w:bCs/>
          <w:kern w:val="44"/>
          <w:szCs w:val="21"/>
        </w:rPr>
      </w:pPr>
      <w:bookmarkStart w:id="19" w:name="_Toc310952773"/>
      <w:bookmarkStart w:id="20" w:name="_Toc310769371"/>
      <w:r>
        <w:rPr>
          <w:rFonts w:hint="eastAsia" w:ascii="黑体" w:eastAsia="黑体"/>
          <w:bCs/>
          <w:kern w:val="44"/>
          <w:szCs w:val="21"/>
        </w:rPr>
        <w:t>图G.4  压缩液化气体连续释放事件树</w:t>
      </w:r>
    </w:p>
    <w:bookmarkEnd w:id="19"/>
    <w:bookmarkEnd w:id="20"/>
    <w:p>
      <w:pPr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G.1.5 可燃液体释放</w:t>
      </w:r>
    </w:p>
    <w:p>
      <w:pPr>
        <w:rPr>
          <w:rFonts w:hint="eastAsia"/>
        </w:rPr>
      </w:pPr>
      <w:r>
        <w:object>
          <v:shape id="_x0000_i1029" o:spt="75" type="#_x0000_t75" style="height:126.5pt;width:484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szCs w:val="21"/>
        </w:rPr>
      </w:pPr>
    </w:p>
    <w:p>
      <w:pPr>
        <w:jc w:val="center"/>
        <w:rPr>
          <w:rFonts w:hint="eastAsia" w:ascii="黑体" w:eastAsia="黑体"/>
          <w:bCs/>
          <w:kern w:val="44"/>
          <w:szCs w:val="21"/>
        </w:rPr>
      </w:pPr>
      <w:bookmarkStart w:id="21" w:name="_Toc310952774"/>
      <w:bookmarkStart w:id="22" w:name="_Toc296956192"/>
      <w:bookmarkStart w:id="23" w:name="_Toc310769372"/>
      <w:r>
        <w:rPr>
          <w:rFonts w:ascii="黑体" w:eastAsia="黑体"/>
          <w:bCs/>
          <w:kern w:val="44"/>
          <w:szCs w:val="21"/>
        </w:rPr>
        <w:t>图</w:t>
      </w:r>
      <w:r>
        <w:rPr>
          <w:rFonts w:hint="eastAsia" w:ascii="黑体" w:eastAsia="黑体"/>
          <w:bCs/>
          <w:kern w:val="44"/>
          <w:szCs w:val="21"/>
        </w:rPr>
        <w:t>G</w:t>
      </w:r>
      <w:r>
        <w:rPr>
          <w:rFonts w:ascii="黑体" w:eastAsia="黑体"/>
          <w:bCs/>
          <w:kern w:val="44"/>
          <w:szCs w:val="21"/>
        </w:rPr>
        <w:t>.</w:t>
      </w:r>
      <w:r>
        <w:rPr>
          <w:rFonts w:hint="eastAsia" w:ascii="黑体" w:eastAsia="黑体"/>
          <w:bCs/>
          <w:kern w:val="44"/>
          <w:szCs w:val="21"/>
        </w:rPr>
        <w:t>5</w:t>
      </w:r>
      <w:r>
        <w:rPr>
          <w:rFonts w:ascii="黑体" w:eastAsia="黑体"/>
          <w:bCs/>
          <w:kern w:val="44"/>
          <w:szCs w:val="21"/>
        </w:rPr>
        <w:t xml:space="preserve">  </w:t>
      </w:r>
      <w:r>
        <w:rPr>
          <w:rFonts w:hint="eastAsia" w:ascii="黑体" w:eastAsia="黑体"/>
          <w:bCs/>
          <w:kern w:val="44"/>
          <w:szCs w:val="21"/>
        </w:rPr>
        <w:t>可燃液体释放</w:t>
      </w:r>
      <w:r>
        <w:rPr>
          <w:rFonts w:ascii="黑体" w:eastAsia="黑体"/>
          <w:bCs/>
          <w:kern w:val="44"/>
          <w:szCs w:val="21"/>
        </w:rPr>
        <w:t>事件树</w:t>
      </w: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注1：对于可燃液体释放，在到达地面前可能发生物质的蒸发。如果蒸发气中雨滴落下的比例小于1时，立即点火将形成喷射火（或BLEVE）。喷射火（或BLEVE）的物质量取决于蒸发气中的物质量。</w:t>
      </w: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注2：在延迟点火时，除了闪火或爆炸，也将发生池火。</w:t>
      </w:r>
    </w:p>
    <w:bookmarkEnd w:id="21"/>
    <w:bookmarkEnd w:id="22"/>
    <w:bookmarkEnd w:id="23"/>
    <w:p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G 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..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ndnya">
    <w:altName w:val="微软雅黑"/>
    <w:panose1 w:val="00000400000000000000"/>
    <w:charset w:val="01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F12BC"/>
    <w:rsid w:val="029F1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2016-12-26T01:51:00Z</dcterms:created>
  <dc:creator>张玉乾</dc:creator>
  <cp:lastModifiedBy>张玉乾</cp:lastModifiedBy>
  <dcterms:modified xsi:type="dcterms:W3CDTF">2016-12-26T01:51:35Z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