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after="120" w:before="0" w:line="240"/>
        <w:jc w:val="center"/>
      </w:pPr>
      <w:r>
        <w:rPr>
          <w:rFonts w:ascii="Times New Roman" w:cs="Times New Roman" w:eastAsia="Times New Roman" w:hAnsi="Times New Roman"/>
          <w:b/>
          <w:bCs/>
          <w:color w:val="000000"/>
          <w:sz w:val="28"/>
          <w:szCs w:val="28"/>
        </w:rPr>
        <w:t xml:space="preserve">FACULTATEA DE ELECTRONICĂ, TELECOMUNICAȚII ȘI TEHNOLOGIA INFORMAȚIEI</w:t>
      </w:r>
    </w:p>
    <w:p>
      <w:pPr>
        <w:spacing w:line="240"/>
      </w:pPr>
      <w:r>
        <w:rPr>
          <w:rFonts w:ascii="Times New Roman" w:cs="Times New Roman" w:eastAsia="Times New Roman" w:hAnsi="Times New Roman"/>
          <w:sz w:val="24"/>
          <w:szCs w:val="24"/>
        </w:rPr>
        <w:t xml:space="preserve"/>
      </w:r>
    </w:p>
    <w:p>
      <w:pPr>
        <w:spacing w:after="120" w:before="120" w:line="240"/>
        <w:jc w:val="center"/>
      </w:pPr>
      <w:r>
        <w:rPr>
          <w:rFonts w:ascii="Times New Roman" w:cs="Times New Roman" w:eastAsia="Times New Roman" w:hAnsi="Times New Roman"/>
          <w:b/>
          <w:bCs/>
          <w:color w:val="000000"/>
          <w:sz w:val="32"/>
          <w:szCs w:val="32"/>
        </w:rPr>
        <w:t xml:space="preserve">Proiect Radiocomunicații</w:t>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after="120" w:before="120" w:line="240"/>
        <w:jc w:val="center"/>
      </w:pPr>
      <w:r>
        <w:rPr>
          <w:rFonts w:ascii="Times New Roman" w:cs="Times New Roman" w:eastAsia="Times New Roman" w:hAnsi="Times New Roman"/>
          <w:b/>
          <w:bCs/>
          <w:color w:val="000000"/>
          <w:sz w:val="28"/>
          <w:szCs w:val="28"/>
        </w:rPr>
        <w:t xml:space="preserve">Aircraft-to-Satellite Communication for ADS-B Out</w:t>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after="120" w:before="120" w:line="240"/>
        <w:jc w:val="center"/>
      </w:pPr>
      <w:r>
        <w:rPr>
          <w:rFonts w:ascii="Times New Roman" w:cs="Times New Roman" w:eastAsia="Times New Roman" w:hAnsi="Times New Roman"/>
          <w:b w:val="false"/>
          <w:bCs w:val="false"/>
          <w:color w:val="000000"/>
          <w:sz w:val="24"/>
          <w:szCs w:val="24"/>
        </w:rPr>
        <w:t xml:space="preserve">Profesor Îndrumător: S.l. Dr. Ing. Cristian Codău</w:t>
      </w:r>
    </w:p>
    <w:p>
      <w:pPr>
        <w:spacing w:after="120" w:before="120" w:line="240"/>
        <w:jc w:val="center"/>
      </w:pPr>
      <w:r>
        <w:rPr>
          <w:rFonts w:ascii="Times New Roman" w:cs="Times New Roman" w:eastAsia="Times New Roman" w:hAnsi="Times New Roman"/>
          <w:b w:val="false"/>
          <w:bCs w:val="false"/>
          <w:color w:val="000000"/>
          <w:sz w:val="24"/>
          <w:szCs w:val="24"/>
        </w:rPr>
        <w:t xml:space="preserve">Studenți: Meteleaucă Damian, Stelea Sonia-Maria</w:t>
      </w:r>
    </w:p>
    <w:p>
      <w:pPr>
        <w:spacing w:after="120" w:before="120" w:line="240"/>
        <w:jc w:val="center"/>
      </w:pPr>
      <w:r>
        <w:rPr>
          <w:rFonts w:ascii="Times New Roman" w:cs="Times New Roman" w:eastAsia="Times New Roman" w:hAnsi="Times New Roman"/>
          <w:b w:val="false"/>
          <w:bCs w:val="false"/>
          <w:color w:val="000000"/>
          <w:sz w:val="24"/>
          <w:szCs w:val="24"/>
        </w:rPr>
        <w:t xml:space="preserve">Grupa: 2123</w:t>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line="240"/>
      </w:pPr>
      <w:r>
        <w:rPr>
          <w:rFonts w:ascii="Times New Roman" w:cs="Times New Roman" w:eastAsia="Times New Roman" w:hAnsi="Times New Roman"/>
          <w:sz w:val="24"/>
          <w:szCs w:val="24"/>
        </w:rPr>
        <w:t xml:space="preserve"/>
      </w:r>
    </w:p>
    <w:p>
      <w:pPr>
        <w:spacing w:after="120" w:before="120" w:line="240"/>
        <w:jc w:val="center"/>
      </w:pPr>
      <w:r>
        <w:rPr>
          <w:rFonts w:ascii="Times New Roman" w:cs="Times New Roman" w:eastAsia="Times New Roman" w:hAnsi="Times New Roman"/>
          <w:b/>
          <w:bCs/>
          <w:color w:val="000000"/>
          <w:sz w:val="28"/>
          <w:szCs w:val="28"/>
        </w:rPr>
        <w:t xml:space="preserve">2026</w:t>
      </w:r>
    </w:p>
    <w:p>
      <w:r>
        <w:br w:type="page"/>
      </w:r>
    </w:p>
    <w:p>
      <w:pPr>
        <w:pStyle w:val="Heading1"/>
      </w:pPr>
      <w:r>
        <w:t xml:space="preserve">Cuprins</w:t>
      </w:r>
    </w:p>
    <w:p>
      <w:pPr>
        <w:tabs>
          <w:tab w:val="right" w:pos="9200"/>
        </w:tabs>
        <w:spacing w:after="60" w:before="60" w:line="240"/>
      </w:pPr>
      <w:r>
        <w:rPr>
          <w:rFonts w:ascii="Times New Roman" w:cs="Times New Roman" w:eastAsia="Times New Roman" w:hAnsi="Times New Roman"/>
          <w:b w:val="false"/>
          <w:bCs w:val="false"/>
          <w:sz w:val="24"/>
          <w:szCs w:val="24"/>
        </w:rPr>
        <w:t xml:space="preserve">Abstract</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pag. 3</w:t>
      </w:r>
    </w:p>
    <w:p>
      <w:pPr>
        <w:tabs>
          <w:tab w:val="right" w:pos="9200"/>
        </w:tabs>
        <w:spacing w:after="60" w:before="60" w:line="240"/>
      </w:pPr>
      <w:r>
        <w:rPr>
          <w:rFonts w:ascii="Times New Roman" w:cs="Times New Roman" w:eastAsia="Times New Roman" w:hAnsi="Times New Roman"/>
          <w:b w:val="false"/>
          <w:bCs w:val="false"/>
          <w:sz w:val="24"/>
          <w:szCs w:val="24"/>
        </w:rPr>
        <w:t xml:space="preserve">2. Fundamentare Teoretică</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pag. 4</w:t>
      </w:r>
    </w:p>
    <w:p>
      <w:pPr>
        <w:tabs>
          <w:tab w:val="right" w:pos="9200"/>
        </w:tabs>
        <w:spacing w:after="60" w:before="60" w:line="240"/>
      </w:pPr>
      <w:r>
        <w:rPr>
          <w:rFonts w:ascii="Times New Roman" w:cs="Times New Roman" w:eastAsia="Times New Roman" w:hAnsi="Times New Roman"/>
          <w:b w:val="false"/>
          <w:bCs w:val="false"/>
          <w:sz w:val="24"/>
          <w:szCs w:val="24"/>
        </w:rPr>
        <w:t xml:space="preserve">Bibliografie</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pag. 10</w:t>
      </w:r>
    </w:p>
    <w:p>
      <w:r>
        <w:br w:type="page"/>
      </w:r>
    </w:p>
    <w:p>
      <w:pPr>
        <w:pStyle w:val="Heading1"/>
      </w:pPr>
      <w:r>
        <w:t xml:space="preserve">1. Abstract</w:t>
      </w:r>
    </w:p>
    <w:p>
      <w:pPr>
        <w:spacing w:after="0" w:before="0" w:line="240"/>
        <w:jc w:val="both"/>
      </w:pPr>
      <w:r>
        <w:rPr>
          <w:rFonts w:ascii="Times New Roman" w:cs="Times New Roman" w:eastAsia="Times New Roman" w:hAnsi="Times New Roman"/>
          <w:sz w:val="24"/>
          <w:szCs w:val="24"/>
        </w:rPr>
        <w:t xml:space="preserve">Lucrarea de față prezintă o adaptare și analiză a simulării conectivității sistemului Automatic Dependent Surveillance–Broadcast (ADS-B) Out 1090ES, operând la frecvența de 1090 MHz cu o putere izotropă radiată efectivă (EIRP) minimă de 125 W, pe ruta aeriană dintre Aeroportul Internațional Wellington (IATA: WLG, Noua Zeelandă) și Aeroportul Internațional Sydney Kingsford Smith (IATA: SYD, Australia), cu o distanță ortodromică de aproximativ 2.162 km deasupra Mării Tasman. Studiul este implementat în mediul MATLAB, utilizând Satellite Communications Toolbox, Phased Array System Toolbox, Sensor Fusion and Tracking Toolbox și Antenna Toolbox.</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Simularea este structurată în trei etape: construirea scenariului satelit–aeronavă–sol, analiza accesului prin linie de vizibilitate directă (Line of Sight – LoS) și analiza închiderii bugetului de legătură (link closure). Un aspect central îl constituie degradarea semnalului în segmentele de zbor deasupra apelor internaționale, unde curbura terestră obstrucționează vizibilitatea față de stațiile de la sol. Soluția investigată în acest proiect constă în integrarea infrastructurii Space-Based ADS-B (SB-ADS-B), implementată prin constelația Iridium NEXT (66 sateliți LEO, altitudine ~780 km, înclinație ~86,4°), operată de Aireon LLC, care asigură acoperire globală continuă. Antena satelitului Iridium este modelată atât ca element izotrop, cât și ca antenă cu 48 de fascicole, conform specificațiilor FCC (Federal Communications Commission) depuse de Iridium [SAT-MOD-20131227-00148].</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Configurația fizică a sistemului aeronavei include antene omnidirecționale cu diagramă toroidală de radiație, montate pe fețele superioară și inferioară ale fuzelajului. Selecția căii active de comunicație, terestră sau spațială, este guvernată de marja maximă de legătură (maximum link margin) calculată ca diferența dintre Eb/N₀ recepționat și pragul minim impus fiecărui tip de receptor, conform relației: margin = Eb/No_received − Eb/No_required.</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Rezultatele demonstrează că arhitectura hibridă sol–spațiu asigură transmiterea neîntreruptă a parametrilor esențiali de zbor: poziție GNSS, altitudine barometrică, viteză față de sol și codul de identitate ICAO de 24 de biți, pe întreaga durată a zborului, eliminând lacunele de supraveghere specifice segmentelor oceanice.</w:t>
      </w:r>
    </w:p>
    <w:p>
      <w:r>
        <w:br w:type="page"/>
      </w:r>
    </w:p>
    <w:p>
      <w:pPr>
        <w:pStyle w:val="Heading1"/>
      </w:pPr>
      <w:r>
        <w:t xml:space="preserve">2. Fundamentare Teoretică</w:t>
      </w:r>
    </w:p>
    <w:p>
      <w:pPr>
        <w:pStyle w:val="Heading2"/>
      </w:pPr>
      <w:r>
        <w:t xml:space="preserve">2.1 Conceptul ADS-B (Automatic Dependent Surveillance-Broadcast)</w:t>
      </w:r>
    </w:p>
    <w:p>
      <w:pPr>
        <w:spacing w:after="0" w:before="0" w:line="240"/>
        <w:jc w:val="both"/>
      </w:pPr>
      <w:r>
        <w:rPr>
          <w:rFonts w:ascii="Times New Roman" w:cs="Times New Roman" w:eastAsia="Times New Roman" w:hAnsi="Times New Roman"/>
          <w:sz w:val="24"/>
          <w:szCs w:val="24"/>
        </w:rPr>
        <w:t xml:space="preserve">Sistemul ADS-B reprezintă o tehnologie modernă de supraveghere în care o aeronavă își determină precis poziția prin intermediul sistemelor globale de navigație prin satelit (GNSS) și o difuzează periodic către stațiile de la sol și către alte aeronave din proximitate.</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Funcționarea sistemului este definită prin cei patru piloni fundamentali ai acronimului:</w:t>
      </w:r>
    </w:p>
    <w:p>
      <w:pPr>
        <w:spacing w:line="240"/>
      </w:pPr>
      <w:r>
        <w:rPr>
          <w:rFonts w:ascii="Times New Roman" w:cs="Times New Roman" w:eastAsia="Times New Roman" w:hAnsi="Times New Roman"/>
          <w:sz w:val="24"/>
          <w:szCs w:val="24"/>
        </w:rPr>
        <w:t xml:space="preserve"/>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Automatic (Automat): </w:t>
      </w:r>
      <w:r>
        <w:rPr>
          <w:rFonts w:ascii="Times New Roman" w:cs="Times New Roman" w:eastAsia="Times New Roman" w:hAnsi="Times New Roman"/>
          <w:b w:val="false"/>
          <w:bCs w:val="false"/>
          <w:sz w:val="24"/>
          <w:szCs w:val="24"/>
        </w:rPr>
        <w:t xml:space="preserve">Transmisia datelor se realizează continuu, fără a necesita intervenția echipajului de zbor sau interogări externe (precum în cazul radarelor secundare clasice).</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Dependent (Dependent): </w:t>
      </w:r>
      <w:r>
        <w:rPr>
          <w:rFonts w:ascii="Times New Roman" w:cs="Times New Roman" w:eastAsia="Times New Roman" w:hAnsi="Times New Roman"/>
          <w:b w:val="false"/>
          <w:bCs w:val="false"/>
          <w:sz w:val="24"/>
          <w:szCs w:val="24"/>
        </w:rPr>
        <w:t xml:space="preserve">Acuratețea și disponibilitatea sistemului depind direct de echipamentele de bord ale aeronavei (receptorul GPS/GNSS pentru determinarea poziției) și de un transponder funcțional.</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Surveillance (Supraveghere): </w:t>
      </w:r>
      <w:r>
        <w:rPr>
          <w:rFonts w:ascii="Times New Roman" w:cs="Times New Roman" w:eastAsia="Times New Roman" w:hAnsi="Times New Roman"/>
          <w:b w:val="false"/>
          <w:bCs w:val="false"/>
          <w:sz w:val="24"/>
          <w:szCs w:val="24"/>
        </w:rPr>
        <w:t xml:space="preserve">Furnizează în timp real date de stare critice: poziție tridimensională, vector viteză, altitudine.</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Broadcast (Difuzare): </w:t>
      </w:r>
      <w:r>
        <w:rPr>
          <w:rFonts w:ascii="Times New Roman" w:cs="Times New Roman" w:eastAsia="Times New Roman" w:hAnsi="Times New Roman"/>
          <w:b w:val="false"/>
          <w:bCs w:val="false"/>
          <w:sz w:val="24"/>
          <w:szCs w:val="24"/>
        </w:rPr>
        <w:t xml:space="preserve">Semnalul este transmis omnidirecțional, nefiind adresat unei singure ținte. Orice receptor compatibil aflat în raza de acoperire poate capta și decoda informația.</w:t>
      </w:r>
    </w:p>
    <w:p>
      <w:pPr>
        <w:spacing w:line="240"/>
      </w:pPr>
      <w:r>
        <w:rPr>
          <w:rFonts w:ascii="Times New Roman" w:cs="Times New Roman" w:eastAsia="Times New Roman" w:hAnsi="Times New Roman"/>
          <w:sz w:val="24"/>
          <w:szCs w:val="24"/>
        </w:rPr>
        <w:t xml:space="preserve"/>
      </w:r>
    </w:p>
    <w:p>
      <w:pPr>
        <w:pStyle w:val="Heading2"/>
      </w:pPr>
      <w:r>
        <w:t xml:space="preserve">2.2 Caracteristicile Semnalului ADS-B Out</w:t>
      </w:r>
    </w:p>
    <w:p>
      <w:pPr>
        <w:spacing w:after="0" w:before="0" w:line="240"/>
        <w:jc w:val="both"/>
      </w:pPr>
      <w:r>
        <w:rPr>
          <w:rFonts w:ascii="Times New Roman" w:cs="Times New Roman" w:eastAsia="Times New Roman" w:hAnsi="Times New Roman"/>
          <w:b w:val="false"/>
          <w:bCs w:val="false"/>
          <w:sz w:val="24"/>
          <w:szCs w:val="24"/>
        </w:rPr>
        <w:t xml:space="preserve">Pentru acest proiect se utilizează standardul </w:t>
      </w:r>
      <w:r>
        <w:rPr>
          <w:rFonts w:ascii="Times New Roman" w:cs="Times New Roman" w:eastAsia="Times New Roman" w:hAnsi="Times New Roman"/>
          <w:b/>
          <w:bCs/>
          <w:sz w:val="24"/>
          <w:szCs w:val="24"/>
        </w:rPr>
        <w:t xml:space="preserve">1090 MHz Extended Squitter (1090ES)</w:t>
      </w:r>
      <w:r>
        <w:rPr>
          <w:rFonts w:ascii="Times New Roman" w:cs="Times New Roman" w:eastAsia="Times New Roman" w:hAnsi="Times New Roman"/>
          <w:b w:val="false"/>
          <w:bCs w:val="false"/>
          <w:sz w:val="24"/>
          <w:szCs w:val="24"/>
        </w:rPr>
        <w:t xml:space="preserve">. Acesta reprezintă protocolul universal adoptat pentru aviația comercială la nivel global, operând eficient la altitudini de croazieră (exemplu: cursele transoceanice sau transcontinentale).</w:t>
      </w:r>
    </w:p>
    <w:p>
      <w:pPr>
        <w:pStyle w:val="Heading3"/>
      </w:pPr>
      <w:r>
        <w:t xml:space="preserve">2.2.1 Specificații Tehnice ale Stratului Fizic (PHY)</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Frecvența purtătoare: </w:t>
      </w:r>
      <w:r>
        <w:rPr>
          <w:rFonts w:ascii="Times New Roman" w:cs="Times New Roman" w:eastAsia="Times New Roman" w:hAnsi="Times New Roman"/>
          <w:b w:val="false"/>
          <w:bCs w:val="false"/>
          <w:sz w:val="24"/>
          <w:szCs w:val="24"/>
        </w:rPr>
        <w:t xml:space="preserve">1090 MHz (cu o toleranță standard de ±1 MHz).</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Modulație: </w:t>
      </w:r>
      <w:r>
        <w:rPr>
          <w:rFonts w:ascii="Times New Roman" w:cs="Times New Roman" w:eastAsia="Times New Roman" w:hAnsi="Times New Roman"/>
          <w:b w:val="false"/>
          <w:bCs w:val="false"/>
          <w:sz w:val="24"/>
          <w:szCs w:val="24"/>
        </w:rPr>
        <w:t xml:space="preserve">Transmisia utilizează modulația de tip </w:t>
      </w:r>
      <w:r>
        <w:rPr>
          <w:rFonts w:ascii="Times New Roman" w:cs="Times New Roman" w:eastAsia="Times New Roman" w:hAnsi="Times New Roman"/>
          <w:b/>
          <w:bCs/>
          <w:sz w:val="24"/>
          <w:szCs w:val="24"/>
        </w:rPr>
        <w:t xml:space="preserve">PPM (Pulse Position Modulation)</w:t>
      </w:r>
      <w:r>
        <w:rPr>
          <w:rFonts w:ascii="Times New Roman" w:cs="Times New Roman" w:eastAsia="Times New Roman" w:hAnsi="Times New Roman"/>
          <w:b w:val="false"/>
          <w:bCs w:val="false"/>
          <w:sz w:val="24"/>
          <w:szCs w:val="24"/>
        </w:rPr>
        <w:t xml:space="preserve">. Aceasta asigură o imunitate superioară la interferențele provocate de alte sisteme radar care împart aceeași bandă de frecvență. Rata de transfer este de </w:t>
      </w:r>
      <w:r>
        <w:rPr>
          <w:rFonts w:ascii="Times New Roman" w:cs="Times New Roman" w:eastAsia="Times New Roman" w:hAnsi="Times New Roman"/>
          <w:b/>
          <w:bCs/>
          <w:sz w:val="24"/>
          <w:szCs w:val="24"/>
        </w:rPr>
        <w:t xml:space="preserve">1 Mbps</w:t>
      </w:r>
      <w:r>
        <w:rPr>
          <w:rFonts w:ascii="Times New Roman" w:cs="Times New Roman" w:eastAsia="Times New Roman" w:hAnsi="Times New Roman"/>
          <w:b w:val="false"/>
          <w:bCs w:val="false"/>
          <w:sz w:val="24"/>
          <w:szCs w:val="24"/>
        </w:rPr>
        <w:t xml:space="preserve">.</w:t>
      </w:r>
    </w:p>
    <w:p>
      <w:pPr>
        <w:pStyle w:val="ListParagraph"/>
        <w:numPr>
          <w:ilvl w:val="0"/>
          <w:numId w:val="2"/>
        </w:numPr>
        <w:spacing w:after="0" w:before="0" w:line="240"/>
        <w:jc w:val="both"/>
      </w:pPr>
      <w:r>
        <w:rPr>
          <w:rFonts w:ascii="Times New Roman" w:cs="Times New Roman" w:eastAsia="Times New Roman" w:hAnsi="Times New Roman"/>
          <w:b w:val="false"/>
          <w:bCs w:val="false"/>
          <w:sz w:val="24"/>
          <w:szCs w:val="24"/>
        </w:rPr>
        <w:t xml:space="preserve">Fiecare interval de bit are durata de </w:t>
      </w:r>
      <w:r>
        <w:rPr>
          <w:rFonts w:ascii="Times New Roman" w:cs="Times New Roman" w:eastAsia="Times New Roman" w:hAnsi="Times New Roman"/>
          <w:b/>
          <w:bCs/>
          <w:sz w:val="24"/>
          <w:szCs w:val="24"/>
        </w:rPr>
        <w:t xml:space="preserve">1 µs</w:t>
      </w:r>
      <w:r>
        <w:rPr>
          <w:rFonts w:ascii="Times New Roman" w:cs="Times New Roman" w:eastAsia="Times New Roman" w:hAnsi="Times New Roman"/>
          <w:b w:val="false"/>
          <w:bCs w:val="false"/>
          <w:sz w:val="24"/>
          <w:szCs w:val="24"/>
        </w:rPr>
        <w:t xml:space="preserve"> și folosește un impuls cu lățimea de </w:t>
      </w:r>
      <w:r>
        <w:rPr>
          <w:rFonts w:ascii="Times New Roman" w:cs="Times New Roman" w:eastAsia="Times New Roman" w:hAnsi="Times New Roman"/>
          <w:b/>
          <w:bCs/>
          <w:sz w:val="24"/>
          <w:szCs w:val="24"/>
        </w:rPr>
        <w:t xml:space="preserve">0,5 µs</w:t>
      </w:r>
      <w:r>
        <w:rPr>
          <w:rFonts w:ascii="Times New Roman" w:cs="Times New Roman" w:eastAsia="Times New Roman" w:hAnsi="Times New Roman"/>
          <w:b w:val="false"/>
          <w:bCs w:val="false"/>
          <w:sz w:val="24"/>
          <w:szCs w:val="24"/>
        </w:rPr>
        <w:t xml:space="preserve">.</w:t>
      </w:r>
    </w:p>
    <w:p>
      <w:pPr>
        <w:pStyle w:val="ListParagraph"/>
        <w:numPr>
          <w:ilvl w:val="0"/>
          <w:numId w:val="2"/>
        </w:numPr>
        <w:spacing w:after="0" w:before="0" w:line="240"/>
        <w:jc w:val="both"/>
      </w:pPr>
      <w:r>
        <w:rPr>
          <w:rFonts w:ascii="Times New Roman" w:cs="Times New Roman" w:eastAsia="Times New Roman" w:hAnsi="Times New Roman"/>
          <w:b w:val="false"/>
          <w:bCs w:val="false"/>
          <w:sz w:val="24"/>
          <w:szCs w:val="24"/>
        </w:rPr>
        <w:t xml:space="preserve">Un „1” logic este reprezentat de un impuls transmis în prima jumătate a intervalului (0 – 0,5 µs), iar un „0” logic de un impuls transmis în a doua jumătate (0,5 – 1,0 µs).</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Limitări tehnice: </w:t>
      </w:r>
      <w:r>
        <w:rPr>
          <w:rFonts w:ascii="Times New Roman" w:cs="Times New Roman" w:eastAsia="Times New Roman" w:hAnsi="Times New Roman"/>
          <w:b w:val="false"/>
          <w:bCs w:val="false"/>
          <w:sz w:val="24"/>
          <w:szCs w:val="24"/>
        </w:rPr>
        <w:t xml:space="preserve">O vulnerabilitate inerentă a transmisiei PPM pe frecvența de 1090 MHz este fenomenul de </w:t>
      </w:r>
      <w:r>
        <w:rPr>
          <w:rFonts w:ascii="Times New Roman" w:cs="Times New Roman" w:eastAsia="Times New Roman" w:hAnsi="Times New Roman"/>
          <w:b w:val="false"/>
          <w:bCs w:val="false"/>
          <w:sz w:val="24"/>
          <w:szCs w:val="24"/>
        </w:rPr>
        <w:t xml:space="preserve">garbling</w:t>
      </w:r>
      <w:r>
        <w:rPr>
          <w:rFonts w:ascii="Times New Roman" w:cs="Times New Roman" w:eastAsia="Times New Roman" w:hAnsi="Times New Roman"/>
          <w:b w:val="false"/>
          <w:bCs w:val="false"/>
          <w:sz w:val="24"/>
          <w:szCs w:val="24"/>
        </w:rPr>
        <w:t xml:space="preserve"> (suprapunerea impulsurilor). În zonele cu trafic aerian dens, emisiile simultane ale mai multor transpondere pot duce la coliziuni de pachete și, implicit, la pierderea temporară a datelor.</w:t>
      </w:r>
    </w:p>
    <w:p>
      <w:pPr>
        <w:pStyle w:val="Heading3"/>
      </w:pPr>
      <w:r>
        <w:t xml:space="preserve">2.2.2 Structura Mesajului Extended Squitter</w:t>
      </w:r>
    </w:p>
    <w:p>
      <w:pPr>
        <w:spacing w:after="0" w:before="0" w:line="240"/>
        <w:jc w:val="both"/>
      </w:pPr>
      <w:r>
        <w:rPr>
          <w:rFonts w:ascii="Times New Roman" w:cs="Times New Roman" w:eastAsia="Times New Roman" w:hAnsi="Times New Roman"/>
          <w:sz w:val="24"/>
          <w:szCs w:val="24"/>
        </w:rPr>
        <w:t xml:space="preserve">Un cadru complet de date „Extended Squitter" are o durată totală de 120 µs și este compus din două secțiuni distincte: un preambul de sincronizare și un bloc de date modulat.</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1. Preambulul (Durată: 8 µs) – </w:t>
      </w:r>
      <w:r>
        <w:rPr>
          <w:rFonts w:ascii="Times New Roman" w:cs="Times New Roman" w:eastAsia="Times New Roman" w:hAnsi="Times New Roman"/>
          <w:b w:val="false"/>
          <w:bCs w:val="false"/>
          <w:sz w:val="24"/>
          <w:szCs w:val="24"/>
        </w:rPr>
        <w:t xml:space="preserve">Este utilizat exclusiv pentru detectarea semnalului și sincronizarea receptorului. Nu conține date utile și este format din 4 impulsuri scurte, nemodulate, poziționate precis la momentele: 0; 1,0; 3,5 și 4,5 µs față de începutul transmisiei.</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2. Blocul de Date (Durată: 112 µs / Dimensiune: 112 biți) – </w:t>
      </w:r>
      <w:r>
        <w:rPr>
          <w:rFonts w:ascii="Times New Roman" w:cs="Times New Roman" w:eastAsia="Times New Roman" w:hAnsi="Times New Roman"/>
          <w:b w:val="false"/>
          <w:bCs w:val="false"/>
          <w:sz w:val="24"/>
          <w:szCs w:val="24"/>
        </w:rPr>
        <w:t xml:space="preserve">Începe imediat după încheierea preambulului și este transmis folosind modulația PPM. Cei 112 biți sunt segmentați riguros pentru a asigura identificarea și integritatea informației:</w:t>
      </w:r>
    </w:p>
    <w:p>
      <w:pPr>
        <w:spacing w:line="240"/>
      </w:pPr>
      <w:r>
        <w:rPr>
          <w:rFonts w:ascii="Times New Roman" w:cs="Times New Roman" w:eastAsia="Times New Roman" w:hAnsi="Times New Roman"/>
          <w:sz w:val="24"/>
          <w:szCs w:val="24"/>
        </w:rPr>
        <w:t xml:space="preserve"/>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Formatul de Date / DF (5 biți): </w:t>
      </w:r>
      <w:r>
        <w:rPr>
          <w:rFonts w:ascii="Times New Roman" w:cs="Times New Roman" w:eastAsia="Times New Roman" w:hAnsi="Times New Roman"/>
          <w:b w:val="false"/>
          <w:bCs w:val="false"/>
          <w:sz w:val="24"/>
          <w:szCs w:val="24"/>
        </w:rPr>
        <w:t xml:space="preserve">Identifică tipul de mesaj. Pentru emisiile ADS-B se utilizează formatul </w:t>
      </w:r>
      <w:r>
        <w:rPr>
          <w:rFonts w:ascii="Times New Roman" w:cs="Times New Roman" w:eastAsia="Times New Roman" w:hAnsi="Times New Roman"/>
          <w:b w:val="false"/>
          <w:bCs w:val="false"/>
          <w:sz w:val="24"/>
          <w:szCs w:val="24"/>
        </w:rPr>
        <w:t xml:space="preserve">Downlink Format 17 (DF=17)</w:t>
      </w:r>
      <w:r>
        <w:rPr>
          <w:rFonts w:ascii="Times New Roman" w:cs="Times New Roman" w:eastAsia="Times New Roman" w:hAnsi="Times New Roman"/>
          <w:b w:val="false"/>
          <w:bCs w:val="false"/>
          <w:sz w:val="24"/>
          <w:szCs w:val="24"/>
        </w:rPr>
        <w:t xml:space="preserve">.</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Capabilitate / CA (3 biți): </w:t>
      </w:r>
      <w:r>
        <w:rPr>
          <w:rFonts w:ascii="Times New Roman" w:cs="Times New Roman" w:eastAsia="Times New Roman" w:hAnsi="Times New Roman"/>
          <w:b w:val="false"/>
          <w:bCs w:val="false"/>
          <w:sz w:val="24"/>
          <w:szCs w:val="24"/>
        </w:rPr>
        <w:t xml:space="preserve">Specifică nivelul de echipare și capabilitățile transponderului de la bord.</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Adresa ICAO (24 biți): </w:t>
      </w:r>
      <w:r>
        <w:rPr>
          <w:rFonts w:ascii="Times New Roman" w:cs="Times New Roman" w:eastAsia="Times New Roman" w:hAnsi="Times New Roman"/>
          <w:b w:val="false"/>
          <w:bCs w:val="false"/>
          <w:sz w:val="24"/>
          <w:szCs w:val="24"/>
        </w:rPr>
        <w:t xml:space="preserve">Un identificator unic atribuit la nivel mondial fiecărei aeronave (similar conceptual cu o adresă MAC/IP), permițând identificarea lipsită de ambiguitate a emițătorului.</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Câmpul de Date / ME (56 biți): </w:t>
      </w:r>
      <w:r>
        <w:rPr>
          <w:rFonts w:ascii="Times New Roman" w:cs="Times New Roman" w:eastAsia="Times New Roman" w:hAnsi="Times New Roman"/>
          <w:b w:val="false"/>
          <w:bCs w:val="false"/>
          <w:sz w:val="24"/>
          <w:szCs w:val="24"/>
        </w:rPr>
        <w:t xml:space="preserve">Payload-ul propriu-zis. Acesta conține coordonatele spațiale (latitudine, longitudine), altitudinea barometrică/geometrică și informații despre cinematică (viteză, direcție).</w:t>
      </w:r>
    </w:p>
    <w:p>
      <w:pPr>
        <w:pStyle w:val="ListParagraph"/>
        <w:numPr>
          <w:ilvl w:val="0"/>
          <w:numId w:val="2"/>
        </w:numPr>
        <w:spacing w:after="0" w:before="0" w:line="240"/>
        <w:jc w:val="both"/>
      </w:pPr>
      <w:r>
        <w:rPr>
          <w:rFonts w:ascii="Times New Roman" w:cs="Times New Roman" w:eastAsia="Times New Roman" w:hAnsi="Times New Roman"/>
          <w:b/>
          <w:bCs/>
          <w:sz w:val="24"/>
          <w:szCs w:val="24"/>
        </w:rPr>
        <w:t xml:space="preserve">Paritate / CRC (24 biți): </w:t>
      </w:r>
      <w:r>
        <w:rPr>
          <w:rFonts w:ascii="Times New Roman" w:cs="Times New Roman" w:eastAsia="Times New Roman" w:hAnsi="Times New Roman"/>
          <w:b w:val="false"/>
          <w:bCs w:val="false"/>
          <w:sz w:val="24"/>
          <w:szCs w:val="24"/>
        </w:rPr>
        <w:t xml:space="preserve">Câmp esențial pentru detectarea și corecția erorilor de transmisie. Asigură validarea datelor la nivelul receptorului, confirmând că pachetul nu a fost corupt de zgomot termic sau cosmic pe parcursul propagării.</w:t>
      </w:r>
    </w:p>
    <w:p>
      <w:pPr>
        <w:spacing w:line="240"/>
      </w:pPr>
      <w:r>
        <w:rPr>
          <w:rFonts w:ascii="Times New Roman" w:cs="Times New Roman" w:eastAsia="Times New Roman" w:hAnsi="Times New Roman"/>
          <w:sz w:val="24"/>
          <w:szCs w:val="24"/>
        </w:rPr>
        <w:t xml:space="preserve"/>
      </w:r>
    </w:p>
    <w:p>
      <w:pPr>
        <w:pStyle w:val="Heading2"/>
      </w:pPr>
      <w:r>
        <w:t xml:space="preserve">2.3 Arhitectura Sistemelor Radiante în Simularea ADS-B</w:t>
      </w:r>
    </w:p>
    <w:p>
      <w:pPr>
        <w:spacing w:after="0" w:before="0" w:line="240"/>
        <w:jc w:val="both"/>
      </w:pPr>
      <w:r>
        <w:rPr>
          <w:rFonts w:ascii="Times New Roman" w:cs="Times New Roman" w:eastAsia="Times New Roman" w:hAnsi="Times New Roman"/>
          <w:sz w:val="24"/>
          <w:szCs w:val="24"/>
        </w:rPr>
        <w:t xml:space="preserve">Modelarea comunicației ADS-B necesită definirea precisă a parametrilor de radiație pentru toate nodurile rețelei: transmițătorul de pe aeronavă, receptorul de la sol (aeroport) și receptorul spațial (satelitul).</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Antenele Echipamentelor Terestre și de Bord.</w:t>
      </w:r>
      <w:r>
        <w:rPr>
          <w:rFonts w:ascii="Times New Roman" w:cs="Times New Roman" w:eastAsia="Times New Roman" w:hAnsi="Times New Roman"/>
          <w:b w:val="false"/>
          <w:bCs w:val="false"/>
          <w:sz w:val="24"/>
          <w:szCs w:val="24"/>
        </w:rPr>
        <w:t xml:space="preserve"> Pentru aeronave și stațiile de la sol (aeroporturi), sistemul este modelat folosind o antenă cu caracteristică de radiație izotropă. În mediul de simulare, aceasta este definită printr-o configurație elementară matriceală de tip array cu dimensiunea [1 1]. Această abordare garantează că recepția și transmisia semnalelor nu sunt condiționate de unghiurile de atitudine ale aeronavei pe durata zborului.</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Antenele Segmentului Spațial (Iridium NEXT).</w:t>
      </w:r>
      <w:r>
        <w:rPr>
          <w:rFonts w:ascii="Times New Roman" w:cs="Times New Roman" w:eastAsia="Times New Roman" w:hAnsi="Times New Roman"/>
          <w:b w:val="false"/>
          <w:bCs w:val="false"/>
          <w:sz w:val="24"/>
          <w:szCs w:val="24"/>
        </w:rPr>
        <w:t xml:space="preserve"> Recepția semnalelor la nivel satelitar impune o arhitectură direcțională. Deși teoretic se poate implementa o antenă izotropă aliniată cu coordonatele satelitului (având unghiurile de montare [0,0,0]), performanța optimă a sistemului de supraveghere Aireon se obține folosind un sistem multi-fascicul. În simulare, se utilizează o antenă personalizată cu 48 de fascicule (Custom 48-Beam Antenna). Pentru a acoperi eficient suprafața terestră, antena satelitului este configurată cu un unghi de tangaj (pitch) de −90° ([0,−90,0]), orientând astfel fasciculul de recepție direct în jos, pe axa Y.</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Corespondența cu Implementările Reale ale Sistemului ADS-B</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Antenele de la Bordul Aeronavelor.</w:t>
      </w:r>
      <w:r>
        <w:rPr>
          <w:rFonts w:ascii="Times New Roman" w:cs="Times New Roman" w:eastAsia="Times New Roman" w:hAnsi="Times New Roman"/>
          <w:b w:val="false"/>
          <w:bCs w:val="false"/>
          <w:sz w:val="24"/>
          <w:szCs w:val="24"/>
        </w:rPr>
        <w:t xml:space="preserve"> În practica aviatică reală, transponderele ADS-B de la bordul aeronavelor utilizează antene de tip blade (lamă) sau monopol, cu polarizare verticală și caracteristică de radiație omnidirecțională în plan azimutal, operate la frecvența de 1090 MHz, în conformitate cu specificațiile TSO-C166b. Aceste antene sunt polarizate vertical și omnidirecționale, oferind un câștig de recepție superior față de un monopol λ/4 pe 90% din volumul de acoperire, pe toate direcțiile azimutale și între −15° și +20° în elevație.</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Un aspect esențial al instalării reale este diversitatea de antenă (antenna diversity). Aceasta presupune montarea a două antene: una în partea superioară a aeronavei și una în partea inferioară, ambele funcționând pe frecvențele ADS-B. Semnalul este transmis prin cele două antene alternativ, câte 0,5 secunde fiecare, rezultând o rată de emisie de 2 mesaje pe secundă. Antena montată pe partea superioară este preferabilă pentru recepția satelitară, deoarece asigură o linie de vedere directă către sateliții de pe orbită. Un sistem cu antenă exclusiv ventrală poate fi compromis de fuzelajul aeronavei, care blochează semnalul în direcția sateliților.</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Reglementările actuale impun ca echipamentul ADS-B să respecte standardele de performanță minimă RTCA DO-260B și să dispună de capacitate de antenă pentru transmisie atât spre receptorii terești, cât și spre cei spațiali – cerință satisfăcută fie prin diversitate de antenă (top + bottom), fie printr-o antenă unică cu acoperire bidirecțională. Această configurație omnidirecțională reală justifică modelarea simulată printr-o antenă radiantă izotropă [1×1]: indiferent de atitudinea aeronavei în zbor (viraj, cabraj, tangaj), semnalul ADS-B este radiat uniform în toate direcțiile, fără dependență de orientare.</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Payload-ul ADS-B de pe Sateliții Iridium NEXT (Sistemul Aireon).</w:t>
      </w:r>
      <w:r>
        <w:rPr>
          <w:rFonts w:ascii="Times New Roman" w:cs="Times New Roman" w:eastAsia="Times New Roman" w:hAnsi="Times New Roman"/>
          <w:b w:val="false"/>
          <w:bCs w:val="false"/>
          <w:sz w:val="24"/>
          <w:szCs w:val="24"/>
        </w:rPr>
        <w:t xml:space="preserve"> La nivelul segmentului spațial, Harris Corporation (acum L3Harris) a furnizat 81 de payload-uri ADS-B de tip receptor 1090 Extended Squitter (ES), găzduite pe constelația de sateliți Iridium NEXT. Payload-ul este bazat pe platforma reconfigurabilă AppStar a Harris și primește mesajele ADS-B care conțin poziția și alte informații de la fiecare aeronavă, transmițindu-le apoi către segmentul de sol al Aireon.</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Fiecare payload Aireon (AHP – Aireon Hosted Payload) suportă fascicule multiple, care creează o amprentă de acoperire robustă la suprafața Pământului, cu o distanță oblică (slant range) de aproximativ 3.200 km. Antena principală de misiune a sateliților Iridium generează 48 de fascicule punctuale (spot beams), organizate în 16 fascicule pe fiecare dintre cele trei sectoare ale satelitului. Această arhitectură multi-fascicul este tocmai cea reprodusă în mediul de simulare prin Custom 48-Beam Antenna, configurată cu un unghi de tangaj de −90° pentru a orienta fasciculele spre nadir (direct înspre suprafața Pământului).</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Sateliții Iridium NEXT operează în banda L pentru comunicațiile cu utilizatorii, bandă care penetrează ușor norii și alte obstacole atmosferice, iar legăturile inter-satelit (crosslinks) se realizează în banda Ka, fiecare satelit putând comunica cu până la patru sateliți vecini. Constelația operațională numără 66 de sateliți activi, 9 rezerve pe orbită și 6 rezerve la sol, asigurând o acoperire globală de 100% față de aproximativ 30% în cazul sistemelor radar terestre tradiționale.</w:t>
      </w:r>
    </w:p>
    <w:p>
      <w:pPr>
        <w:spacing w:line="240"/>
      </w:pPr>
      <w:r>
        <w:rPr>
          <w:rFonts w:ascii="Times New Roman" w:cs="Times New Roman" w:eastAsia="Times New Roman" w:hAnsi="Times New Roman"/>
          <w:sz w:val="24"/>
          <w:szCs w:val="24"/>
        </w:rPr>
        <w:t xml:space="preserve"/>
      </w:r>
    </w:p>
    <w:p>
      <w:pPr>
        <w:pStyle w:val="Heading3"/>
      </w:pPr>
      <w:r>
        <w:t xml:space="preserve">2.3.1 Modelarea Matematică a Segmentului Spațial</w:t>
      </w:r>
    </w:p>
    <w:p>
      <w:pPr>
        <w:spacing w:after="0" w:before="0" w:line="240"/>
        <w:jc w:val="both"/>
      </w:pPr>
      <w:r>
        <w:rPr>
          <w:rFonts w:ascii="Times New Roman" w:cs="Times New Roman" w:eastAsia="Times New Roman" w:hAnsi="Times New Roman"/>
          <w:sz w:val="24"/>
          <w:szCs w:val="24"/>
        </w:rPr>
        <w:t xml:space="preserve">Rețeaua spațială este bazată pe constelația Iridium NEXT, compusă din 66 de sateliți. Aceștia preiau semnalul ADS-B de la aeronavele aflate deasupra oceanelor și îl transmit prin legături inter-satelitare (cross-links) până când este identificat un satelit cu vizibilitate directă deasupra unei stații terestre.</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sz w:val="24"/>
          <w:szCs w:val="24"/>
        </w:rPr>
        <w:t xml:space="preserve">Pentru a simula cu acuratețe vizibilitatea și timpii de acces, scenariul construiește un model matematic și fizic al Pământului. Constelația este distribuită pe Norbite = 6 planuri orbitale, având fiecare câte Nsateliți = 11 sateliți. Poziția spațială a fiecărui satelit este definită prin următorii parametri orbitali:</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Semiaxa mare (α) și Altitudinea:</w:t>
      </w:r>
      <w:r>
        <w:rPr>
          <w:rFonts w:ascii="Times New Roman" w:cs="Times New Roman" w:eastAsia="Times New Roman" w:hAnsi="Times New Roman"/>
          <w:b w:val="false"/>
          <w:bCs w:val="false"/>
          <w:sz w:val="24"/>
          <w:szCs w:val="24"/>
        </w:rPr>
        <w:t xml:space="preserve"> Altitudinea sateliților LEO este de 780 km. Semiaxa mare se calculează pornind de la centrul Pământului, adunând raza planetei (6.371 km) cu altitudinea satelitului:</w:t>
      </w:r>
    </w:p>
    <w:p>
      <w:pPr>
        <w:spacing w:after="240" w:before="240" w:line="240"/>
        <w:jc w:val="center"/>
      </w:pPr>
      <w:r>
        <w:rPr>
          <w:rFonts w:ascii="Times New Roman" w:cs="Times New Roman" w:eastAsia="Times New Roman" w:hAnsi="Times New Roman"/>
          <w:sz w:val="24"/>
          <w:szCs w:val="24"/>
        </w:rPr>
        <w:t xml:space="preserve">α = 6.371 + 780 [km] = 7.151 km (față de centrul Pământului)</w:t>
      </w:r>
    </w:p>
    <w:p>
      <w:pPr>
        <w:spacing w:after="0" w:before="0" w:line="240"/>
        <w:jc w:val="both"/>
      </w:pPr>
      <w:r>
        <w:rPr>
          <w:rFonts w:ascii="Times New Roman" w:cs="Times New Roman" w:eastAsia="Times New Roman" w:hAnsi="Times New Roman"/>
          <w:b/>
          <w:bCs/>
          <w:sz w:val="24"/>
          <w:szCs w:val="24"/>
        </w:rPr>
        <w:t xml:space="preserve">Excentricitatea (ε) și Perigeul:</w:t>
      </w:r>
      <w:r>
        <w:rPr>
          <w:rFonts w:ascii="Times New Roman" w:cs="Times New Roman" w:eastAsia="Times New Roman" w:hAnsi="Times New Roman"/>
          <w:b w:val="false"/>
          <w:bCs w:val="false"/>
          <w:sz w:val="24"/>
          <w:szCs w:val="24"/>
        </w:rPr>
        <w:t xml:space="preserve"> Orbita sateliților este un cerc perfect, prin urmare excentricitatea este zero (ε = 0). Din acest motiv, argumentul perigeului este de asemenea setat la valoarea zero, neexistând un punct de apropiere maximă sau minimă față de Pământ.</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Înclinația planului orbital (i):</w:t>
      </w:r>
      <w:r>
        <w:rPr>
          <w:rFonts w:ascii="Times New Roman" w:cs="Times New Roman" w:eastAsia="Times New Roman" w:hAnsi="Times New Roman"/>
          <w:b w:val="false"/>
          <w:bCs w:val="false"/>
          <w:sz w:val="24"/>
          <w:szCs w:val="24"/>
        </w:rPr>
        <w:t xml:space="preserve"> Planurile orbitale au o înclinație de 86,4° față de ecuator.</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bCs/>
          <w:sz w:val="24"/>
          <w:szCs w:val="24"/>
        </w:rPr>
        <w:t xml:space="preserve">Longitudinea Nodului Ascendent (RAAN – Ω):</w:t>
      </w:r>
      <w:r>
        <w:rPr>
          <w:rFonts w:ascii="Times New Roman" w:cs="Times New Roman" w:eastAsia="Times New Roman" w:hAnsi="Times New Roman"/>
          <w:b w:val="false"/>
          <w:bCs w:val="false"/>
          <w:sz w:val="24"/>
          <w:szCs w:val="24"/>
        </w:rPr>
        <w:t xml:space="preserve"> Pentru a asigura acoperirea globală, planurile orbitale sunt distanțate la 30°. Parametrul RAAN (care definește orientarea longitudinală) este calculat înmulțind cu 180°, deoarece o singură orbită polară acoperă automat ambele emisfere:</w:t>
      </w:r>
    </w:p>
    <w:p>
      <w:pPr>
        <w:spacing w:after="240" w:before="240" w:line="240"/>
        <w:jc w:val="center"/>
      </w:pPr>
      <w:r>
        <w:rPr>
          <w:rFonts w:ascii="Times New Roman" w:cs="Times New Roman" w:eastAsia="Times New Roman" w:hAnsi="Times New Roman"/>
          <w:sz w:val="24"/>
          <w:szCs w:val="24"/>
        </w:rPr>
        <w:t xml:space="preserve">Ω = 180° × (orbitIdx − 1) / Norbite</w:t>
      </w:r>
    </w:p>
    <w:p>
      <w:pPr>
        <w:spacing w:after="240" w:before="240" w:line="240"/>
        <w:jc w:val="center"/>
      </w:pPr>
      <w:r>
        <w:rPr>
          <w:rFonts w:ascii="Times New Roman" w:cs="Times New Roman" w:eastAsia="Times New Roman" w:hAnsi="Times New Roman"/>
          <w:sz w:val="24"/>
          <w:szCs w:val="24"/>
        </w:rPr>
        <w:t xml:space="preserve">orbitIdx = numărul orbitei</w:t>
      </w:r>
    </w:p>
    <w:p>
      <w:pPr>
        <w:spacing w:after="0" w:before="0" w:line="240"/>
        <w:jc w:val="both"/>
      </w:pPr>
      <w:r>
        <w:rPr>
          <w:rFonts w:ascii="Times New Roman" w:cs="Times New Roman" w:eastAsia="Times New Roman" w:hAnsi="Times New Roman"/>
          <w:b/>
          <w:bCs/>
          <w:sz w:val="24"/>
          <w:szCs w:val="24"/>
        </w:rPr>
        <w:t xml:space="preserve">Anomalia Adevărată (ν):</w:t>
      </w:r>
      <w:r>
        <w:rPr>
          <w:rFonts w:ascii="Times New Roman" w:cs="Times New Roman" w:eastAsia="Times New Roman" w:hAnsi="Times New Roman"/>
          <w:b w:val="false"/>
          <w:bCs w:val="false"/>
          <w:sz w:val="24"/>
          <w:szCs w:val="24"/>
        </w:rPr>
        <w:t xml:space="preserve"> Acest parametru calculează poziția fiecărui satelit pe orbita sa. Împărțind cele 360° la numărul de sateliți (11), rezultă o distanță unghiulară de 32,7° între sateliți. Pentru a asigura o acoperire totală a suprafeței și a evita „zonele oarbe" (care ar apărea dacă sateliții ar zbura perfect paralel), se aplică o funcție matematică de decalaj (staggering):</w:t>
      </w:r>
    </w:p>
    <w:p>
      <w:pPr>
        <w:spacing w:after="240" w:before="240" w:line="240"/>
        <w:jc w:val="center"/>
      </w:pPr>
      <w:r>
        <w:rPr>
          <w:rFonts w:ascii="Times New Roman" w:cs="Times New Roman" w:eastAsia="Times New Roman" w:hAnsi="Times New Roman"/>
          <w:sz w:val="24"/>
          <w:szCs w:val="24"/>
        </w:rPr>
        <w:t xml:space="preserve">ν = 360° × (planeIdx − 1 + 0,5 × (orbitIdx mod 2 − 1)) / Nsat</w:t>
      </w:r>
    </w:p>
    <w:p>
      <w:pPr>
        <w:spacing w:after="0" w:before="0" w:line="240"/>
        <w:jc w:val="both"/>
      </w:pPr>
      <w:r>
        <w:rPr>
          <w:rFonts w:ascii="Times New Roman" w:cs="Times New Roman" w:eastAsia="Times New Roman" w:hAnsi="Times New Roman"/>
          <w:sz w:val="24"/>
          <w:szCs w:val="24"/>
        </w:rPr>
        <w:t xml:space="preserve">Conform acestei formule, dacă orbita este pară, rezultatul modulului generează un factor de −0,5, mutând sateliții mai în spate cu jumătate de pas unghiular. Dacă orbita este impară, decalajul este zero, lăsând sateliții în poziția standard.</w:t>
      </w:r>
    </w:p>
    <w:p>
      <w:pPr>
        <w:spacing w:line="240"/>
      </w:pPr>
      <w:r>
        <w:rPr>
          <w:rFonts w:ascii="Times New Roman" w:cs="Times New Roman" w:eastAsia="Times New Roman" w:hAnsi="Times New Roman"/>
          <w:sz w:val="24"/>
          <w:szCs w:val="24"/>
        </w:rPr>
        <w:t xml:space="preserve"/>
      </w:r>
    </w:p>
    <w:p>
      <w:pPr>
        <w:pStyle w:val="Heading2"/>
      </w:pPr>
      <w:r>
        <w:t xml:space="preserve">2.4 Analiza Calității Legăturii de Date (Link Margin)</w:t>
      </w:r>
    </w:p>
    <w:p>
      <w:pPr>
        <w:spacing w:after="0" w:before="0" w:line="240"/>
        <w:jc w:val="both"/>
      </w:pPr>
      <w:r>
        <w:rPr>
          <w:rFonts w:ascii="Times New Roman" w:cs="Times New Roman" w:eastAsia="Times New Roman" w:hAnsi="Times New Roman"/>
          <w:sz w:val="24"/>
          <w:szCs w:val="24"/>
        </w:rPr>
        <w:t xml:space="preserve">Un aspect esențial al simulării este evaluarea calității semnalului pe traseul definit de la transmițătorul aeronavei către grupul de receptoare (terestre și satelitare).</w:t>
      </w:r>
    </w:p>
    <w:p>
      <w:pPr>
        <w:spacing w:line="240"/>
      </w:pPr>
      <w:r>
        <w:rPr>
          <w:rFonts w:ascii="Times New Roman" w:cs="Times New Roman" w:eastAsia="Times New Roman" w:hAnsi="Times New Roman"/>
          <w:sz w:val="24"/>
          <w:szCs w:val="24"/>
        </w:rPr>
        <w:t xml:space="preserve"/>
      </w:r>
    </w:p>
    <w:p>
      <w:pPr>
        <w:spacing w:after="0" w:before="0" w:line="240"/>
        <w:jc w:val="both"/>
      </w:pPr>
      <w:r>
        <w:rPr>
          <w:rFonts w:ascii="Times New Roman" w:cs="Times New Roman" w:eastAsia="Times New Roman" w:hAnsi="Times New Roman"/>
          <w:b w:val="false"/>
          <w:bCs w:val="false"/>
          <w:sz w:val="24"/>
          <w:szCs w:val="24"/>
        </w:rPr>
        <w:t xml:space="preserve">Parametrul de bază evaluat este calitatea brută a semnalului, măsurată prin raportul </w:t>
      </w:r>
      <w:r>
        <w:rPr>
          <w:rFonts w:ascii="Times New Roman" w:cs="Times New Roman" w:eastAsia="Times New Roman" w:hAnsi="Times New Roman"/>
          <w:b w:val="false"/>
          <w:bCs w:val="false"/>
          <w:sz w:val="24"/>
          <w:szCs w:val="24"/>
        </w:rPr>
        <w:t xml:space="preserve">Eb/N0</w:t>
      </w:r>
      <w:r>
        <w:rPr>
          <w:rFonts w:ascii="Times New Roman" w:cs="Times New Roman" w:eastAsia="Times New Roman" w:hAnsi="Times New Roman"/>
          <w:b w:val="false"/>
          <w:bCs w:val="false"/>
          <w:sz w:val="24"/>
          <w:szCs w:val="24"/>
        </w:rPr>
        <w:t xml:space="preserve"> (energia pe bit raportat la densitatea spectrală de putere a zgomotului). Pentru a determina fiabilitatea comunicației, simularea extrage „marja de semnal" (</w:t>
      </w:r>
      <w:r>
        <w:rPr>
          <w:rFonts w:ascii="Times New Roman" w:cs="Times New Roman" w:eastAsia="Times New Roman" w:hAnsi="Times New Roman"/>
          <w:b w:val="false"/>
          <w:bCs w:val="false"/>
          <w:sz w:val="24"/>
          <w:szCs w:val="24"/>
        </w:rPr>
        <w:t xml:space="preserve">Link Margin</w:t>
      </w:r>
      <w:r>
        <w:rPr>
          <w:rFonts w:ascii="Times New Roman" w:cs="Times New Roman" w:eastAsia="Times New Roman" w:hAnsi="Times New Roman"/>
          <w:b w:val="false"/>
          <w:bCs w:val="false"/>
          <w:sz w:val="24"/>
          <w:szCs w:val="24"/>
        </w:rPr>
        <w:t xml:space="preserve">). Această marjă reprezintă diferența exactă dintre nivelul semnalului primit și semnalul minim necesar (pragul cerut) pentru decodarea corectă a datelor ADS-B. O marjă de semnal pozitivă pe parcursul simulării demonstrează robustețea rețelei.</w:t>
      </w:r>
    </w:p>
    <w:p>
      <w:r>
        <w:br w:type="page"/>
      </w:r>
    </w:p>
    <w:p>
      <w:pPr>
        <w:pStyle w:val="Heading1"/>
      </w:pPr>
      <w:r>
        <w:t xml:space="preserve">Bibliografie</w:t>
      </w:r>
    </w:p>
    <w:p>
      <w:pPr>
        <w:spacing w:line="240"/>
      </w:pPr>
      <w:r>
        <w:rPr>
          <w:rFonts w:ascii="Times New Roman" w:cs="Times New Roman" w:eastAsia="Times New Roman" w:hAnsi="Times New Roman"/>
          <w:sz w:val="24"/>
          <w:szCs w:val="24"/>
        </w:rPr>
        <w:t xml:space="preserve"/>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40" w:before="480"/>
      <w:jc w:val="left"/>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240" w:before="360"/>
      <w:jc w:val="left"/>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2026-04-16T13:41:25.432Z</dcterms:created>
  <dcterms:modified xsi:type="dcterms:W3CDTF">2026-04-16T13:41:25.434Z</dcterms:modified>
</cp:coreProperties>
</file>

<file path=docProps/custom.xml><?xml version="1.0" encoding="utf-8"?>
<Properties xmlns="http://schemas.openxmlformats.org/officeDocument/2006/custom-properties" xmlns:vt="http://schemas.openxmlformats.org/officeDocument/2006/docPropsVTypes"/>
</file>