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Angebot {{ project_data[“days”] }} Tage-Projekt</w:t>
        <w:br w:type="textWrapping"/>
        <w:t xml:space="preserve">“{{ project_data[“project_name”] }}”</w:t>
      </w:r>
    </w:p>
    <w:tbl>
      <w:tblPr>
        <w:tblStyle w:val="Table1"/>
        <w:tblpPr w:leftFromText="180" w:rightFromText="180" w:topFromText="181.4173228346457" w:bottomFromText="180" w:vertAnchor="page" w:horzAnchor="page" w:tblpX="946.7716535433071" w:tblpY="3526.2992125984256"/>
        <w:tblW w:w="99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15"/>
        <w:gridCol w:w="4545"/>
        <w:tblGridChange w:id="0">
          <w:tblGrid>
            <w:gridCol w:w="5415"/>
            <w:gridCol w:w="4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customer[“name”] }}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customer[“street”] }} {{ customer[“street_nr”] }}</w:t>
            </w:r>
          </w:p>
          <w:p w:rsidR="00000000" w:rsidDel="00000000" w:rsidP="00000000" w:rsidRDefault="00000000" w:rsidRPr="00000000" w14:paraId="00000006">
            <w:pPr>
              <w:ind w:right="-10.8661417322827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customer[“postal_code”] }} {{ customer[“city”] }}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Mücheln OT Stöbnitz {{ date }}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Sehr geehrte Damen und Herren,</w:t>
      </w:r>
    </w:p>
    <w:p w:rsidR="00000000" w:rsidDel="00000000" w:rsidP="00000000" w:rsidRDefault="00000000" w:rsidRPr="00000000" w14:paraId="0000000C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Hiermit übersenden wir Ihnen alle wichtigen Informationen für Ihre Projekttage.</w:t>
      </w:r>
    </w:p>
    <w:p w:rsidR="00000000" w:rsidDel="00000000" w:rsidP="00000000" w:rsidRDefault="00000000" w:rsidRPr="00000000" w14:paraId="0000000E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Weitere Veränderungen sind selbstverständlich möglich.</w:t>
      </w:r>
    </w:p>
    <w:p w:rsidR="00000000" w:rsidDel="00000000" w:rsidP="00000000" w:rsidRDefault="00000000" w:rsidRPr="00000000" w14:paraId="0000000F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Das Angebot beinhaltet {{ base_costs[“staff”] }} Betreuer von Simplex Callidus, es müssen zusätzlich, zur Station Betreuung / Projektunterstützung, {{ project_data[“customer_staff”] }} Betreuer aus Ihrer Einrichtung (Lehrer, Betreuer, Eltern, …) gestellt werden.</w:t>
      </w:r>
    </w:p>
    <w:p w:rsidR="00000000" w:rsidDel="00000000" w:rsidP="00000000" w:rsidRDefault="00000000" w:rsidRPr="00000000" w14:paraId="00000011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Alle Tagesprojekte orientieren sich am Thema {{ project_data[“project_theme”] }}. Das Angebot ist auf {{ project_data[“participants”] }} Teilnehmer (TN) ausgelegt und gültig für {{ project_data[“validity_period”] }} Tage.</w:t>
      </w:r>
    </w:p>
    <w:p w:rsidR="00000000" w:rsidDel="00000000" w:rsidP="00000000" w:rsidRDefault="00000000" w:rsidRPr="00000000" w14:paraId="00000013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5.19685039370086" w:right="-436.062992125984" w:firstLine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Grundkosten Animateur</w:t>
      </w:r>
    </w:p>
    <w:p w:rsidR="00000000" w:rsidDel="00000000" w:rsidP="00000000" w:rsidRDefault="00000000" w:rsidRPr="00000000" w14:paraId="00000015">
      <w:pPr>
        <w:ind w:left="-425.19685039370086" w:right="-436.062992125984" w:firstLine="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 Preis enthaltene Kosten:</w:t>
      </w:r>
      <w:r w:rsidDel="00000000" w:rsidR="00000000" w:rsidRPr="00000000">
        <w:rPr>
          <w:rtl w:val="0"/>
        </w:rPr>
      </w:r>
    </w:p>
    <w:tbl>
      <w:tblPr>
        <w:tblStyle w:val="Table2"/>
        <w:tblW w:w="9570.0" w:type="dxa"/>
        <w:jc w:val="left"/>
        <w:tblInd w:w="-510.236220472441" w:type="dxa"/>
        <w:tblBorders>
          <w:top w:color="ffffff" w:space="0" w:sz="24" w:val="single"/>
          <w:left w:color="ffffff" w:space="0" w:sz="24" w:val="single"/>
          <w:bottom w:color="ffffff" w:space="0" w:sz="24" w:val="single"/>
          <w:right w:color="ffffff" w:space="0" w:sz="24" w:val="single"/>
          <w:insideH w:color="ffffff" w:space="0" w:sz="24" w:val="single"/>
          <w:insideV w:color="ffffff" w:space="0" w:sz="24" w:val="single"/>
        </w:tblBorders>
        <w:tblLayout w:type="fixed"/>
        <w:tblLook w:val="0600"/>
      </w:tblPr>
      <w:tblGrid>
        <w:gridCol w:w="5580"/>
        <w:gridCol w:w="2205"/>
        <w:gridCol w:w="1785"/>
        <w:tblGridChange w:id="0">
          <w:tblGrid>
            <w:gridCol w:w="5580"/>
            <w:gridCol w:w="2205"/>
            <w:gridCol w:w="178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An- und Abfahrt, je gefahrenen Kilometer 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</w:t>
            </w:r>
          </w:p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base_costs[“price_km”] }}€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base_costs[“travel_costs”]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bei    {{ base_costs[“rides”] }}    Fahrten a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base_costs[“distance”] }}km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Auf- und Abbau pauschal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base_costs[“assembly_fee”]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base_costs[“staff”] }} Betreuer von Simplex et Callidus für 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project_data[“days”] }} Tag/e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base_costs[“staff_costs”]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Nettobetrag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base_costs["total_netto"]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MwSt. 07%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base_costs["vat"]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Bruttobetrag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{{ base_costs["total_brutto"] }}€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Entspricht bei {{ project_data[“participants”] }} Teilnehmern, einem Beitrag von:</w:t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24" w:val="single"/>
              <w:bottom w:color="ffffff" w:space="0" w:sz="24" w:val="single"/>
              <w:right w:color="ffffff" w:space="0" w:sz="2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base_costs["per_participant"] }}€</w:t>
            </w:r>
          </w:p>
        </w:tc>
      </w:tr>
    </w:tbl>
    <w:p w:rsidR="00000000" w:rsidDel="00000000" w:rsidP="00000000" w:rsidRDefault="00000000" w:rsidRPr="00000000" w14:paraId="0000002F">
      <w:pPr>
        <w:ind w:left="-425.19685039370086" w:right="-43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425.19685039370086" w:right="-43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425.19685039370086" w:right="-43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425.19685039370086" w:right="-43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425.19685039370086" w:right="-43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425.19685039370086" w:right="-43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425.19685039370086" w:right="-436.0629921259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4.708661417326" w:type="dxa"/>
        <w:jc w:val="left"/>
        <w:tblInd w:w="-425.19685039370086" w:type="dxa"/>
        <w:tblLayout w:type="fixed"/>
        <w:tblLook w:val="0600"/>
      </w:tblPr>
      <w:tblGrid>
        <w:gridCol w:w="3088.381995134457"/>
        <w:gridCol w:w="3088.381995134457"/>
        <w:gridCol w:w="801.4964493452134"/>
        <w:gridCol w:w="801.4964493452134"/>
        <w:gridCol w:w="857.4758862289918"/>
        <w:gridCol w:w="857.4758862289918"/>
        <w:tblGridChange w:id="0">
          <w:tblGrid>
            <w:gridCol w:w="3088.381995134457"/>
            <w:gridCol w:w="3088.381995134457"/>
            <w:gridCol w:w="801.4964493452134"/>
            <w:gridCol w:w="801.4964493452134"/>
            <w:gridCol w:w="857.4758862289918"/>
            <w:gridCol w:w="857.475886228991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Tagesprojekte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Einzelpreis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Entsprechend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der TN-Zahl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project_data[“participants”] }}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for project_day in project_days %}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{{ project_day[“name”] 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{% for offer in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project_day[“offers”]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offer[“name”] }}</w:t>
            </w:r>
          </w:p>
        </w:tc>
        <w:tc>
          <w:tcPr>
            <w:gridSpan w:val="2"/>
            <w:vMerge w:val="restart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offer[“price_brutto”] }}€</w:t>
            </w:r>
          </w:p>
        </w:tc>
        <w:tc>
          <w:tcPr>
            <w:gridSpan w:val="2"/>
            <w:vMerge w:val="restart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offer[“price_total”] }}€</w:t>
            </w:r>
          </w:p>
        </w:tc>
      </w:tr>
      <w:tr>
        <w:trPr>
          <w:cantSplit w:val="0"/>
          <w:trHeight w:val="518.96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offer[“description”] }}</w:t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endfor %}</w:t>
            </w:r>
          </w:p>
        </w:tc>
      </w:tr>
      <w:tr>
        <w:trPr>
          <w:cantSplit w:val="0"/>
          <w:trHeight w:val="737.9296875" w:hRule="atLeast"/>
          <w:tblHeader w:val="0"/>
        </w:trPr>
        <w:tc>
          <w:tcPr>
            <w:gridSpan w:val="2"/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Gesamt</w:t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project_day[“cost_pp”] }}€</w:t>
            </w:r>
          </w:p>
        </w:tc>
        <w:tc>
          <w:tcPr>
            <w:gridSpan w:val="2"/>
            <w:tcBorders>
              <w:top w:color="000000" w:space="0" w:sz="4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project_day[“cost”] }}€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endfor %}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Gesamt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project_days[“total_cost_pp”] }}€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project_days[“total_cost”] }}€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Zuzüglich Grundkosten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base_costs["per_participant"] }}€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base_costs["total_brutto"] }}€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Entspricht einem Gesamtbetrag für Ihr Wochenprojekt von: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jc w:val="right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{{ total_cost }}€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Einzelpreis pro Teilnehmer: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total_cost_pp }}€</w:t>
            </w:r>
          </w:p>
        </w:tc>
      </w:tr>
    </w:tbl>
    <w:p w:rsidR="00000000" w:rsidDel="00000000" w:rsidP="00000000" w:rsidRDefault="00000000" w:rsidRPr="00000000" w14:paraId="0000008D">
      <w:pPr>
        <w:ind w:left="-425.19685039370086" w:right="-436.06299212598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283.46456692913375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Nur zu beachten bei Materialvermietung</w:t>
        <w:br w:type="textWrapping"/>
        <w:t xml:space="preserve">Mit * gekennzeichnete Angebote werden von Simplex durchgeführt.</w:t>
      </w:r>
    </w:p>
    <w:p w:rsidR="00000000" w:rsidDel="00000000" w:rsidP="00000000" w:rsidRDefault="00000000" w:rsidRPr="00000000" w14:paraId="0000008F">
      <w:pPr>
        <w:ind w:left="-283.46456692913375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Mit ** gekennzeichnete Angebote empfiehlt es sich 2 Standbetreuer einzuplanen.</w:t>
      </w:r>
    </w:p>
    <w:p w:rsidR="00000000" w:rsidDel="00000000" w:rsidP="00000000" w:rsidRDefault="00000000" w:rsidRPr="00000000" w14:paraId="00000090">
      <w:pPr>
        <w:ind w:left="-283.46456692913375" w:firstLine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Mit *** gekennzeichnete Angebote werden von Simplex und 2 externen Betreuern durchgeführt.</w:t>
      </w:r>
    </w:p>
    <w:p w:rsidR="00000000" w:rsidDel="00000000" w:rsidP="00000000" w:rsidRDefault="00000000" w:rsidRPr="00000000" w14:paraId="00000091">
      <w:pPr>
        <w:ind w:left="-566.929133858267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283.464566929133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 xml:space="preserve">Die genaue Teilnehmerzahl wird am Ende des Projekts ermittelt.</w:t>
        <w:br w:type="textWrapping"/>
        <w:t xml:space="preserve">Sollten noch Fragen oder Anregungen zu diesem Angebot bestehen, stehe ich Ihnen selbstverständlich gerne zur Verfügung.   </w:t>
      </w:r>
    </w:p>
    <w:p w:rsidR="00000000" w:rsidDel="00000000" w:rsidP="00000000" w:rsidRDefault="00000000" w:rsidRPr="00000000" w14:paraId="00000093">
      <w:pPr>
        <w:ind w:left="-283.464566929133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283.464566929133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Mit freundlichen Grüßen</w:t>
      </w:r>
    </w:p>
    <w:p w:rsidR="00000000" w:rsidDel="00000000" w:rsidP="00000000" w:rsidRDefault="00000000" w:rsidRPr="00000000" w14:paraId="00000095">
      <w:pPr>
        <w:ind w:left="-283.464566929133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6">
      <w:pPr>
        <w:ind w:left="-283.4645669291337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simplex et callidus </w:t>
      </w:r>
    </w:p>
    <w:p w:rsidR="00000000" w:rsidDel="00000000" w:rsidP="00000000" w:rsidRDefault="00000000" w:rsidRPr="00000000" w14:paraId="00000097">
      <w:pPr>
        <w:ind w:left="-283.464566929133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283.4645669291337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079" w:top="1418" w:left="1418" w:right="1418" w:header="540" w:footer="5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lphabetSoup Tilt BT"/>
  <w:font w:name="UechiGothic"/>
  <w:font w:name="Mariag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3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3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spacing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pPr w:leftFromText="180" w:rightFromText="180" w:topFromText="180" w:bottomFromText="180" w:vertAnchor="text" w:horzAnchor="text" w:tblpX="-592.9999999999995" w:tblpY="0"/>
      <w:tblW w:w="10207.0" w:type="dxa"/>
      <w:jc w:val="left"/>
      <w:tblInd w:w="-426.0" w:type="dxa"/>
      <w:tblLayout w:type="fixed"/>
      <w:tblLook w:val="0000"/>
    </w:tblPr>
    <w:tblGrid>
      <w:gridCol w:w="1671"/>
      <w:gridCol w:w="5755"/>
      <w:gridCol w:w="2781"/>
      <w:tblGridChange w:id="0">
        <w:tblGrid>
          <w:gridCol w:w="1671"/>
          <w:gridCol w:w="5755"/>
          <w:gridCol w:w="2781"/>
        </w:tblGrid>
      </w:tblGridChange>
    </w:tblGrid>
    <w:tr>
      <w:trPr>
        <w:cantSplit w:val="0"/>
        <w:trHeight w:val="184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9A">
          <w:pPr>
            <w:jc w:val="center"/>
            <w:rPr>
              <w:rFonts w:ascii="AlphabetSoup Tilt BT" w:cs="AlphabetSoup Tilt BT" w:eastAsia="AlphabetSoup Tilt BT" w:hAnsi="AlphabetSoup Tilt BT"/>
              <w:color w:val="ff0000"/>
              <w:sz w:val="64"/>
              <w:szCs w:val="6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9B">
          <w:pPr>
            <w:jc w:val="center"/>
            <w:rPr>
              <w:rFonts w:ascii="AlphabetSoup Tilt BT" w:cs="AlphabetSoup Tilt BT" w:eastAsia="AlphabetSoup Tilt BT" w:hAnsi="AlphabetSoup Tilt BT"/>
              <w:color w:val="ff0000"/>
              <w:sz w:val="52"/>
              <w:szCs w:val="52"/>
            </w:rPr>
          </w:pPr>
          <w:r w:rsidDel="00000000" w:rsidR="00000000" w:rsidRPr="00000000">
            <w:rPr>
              <w:rFonts w:ascii="AlphabetSoup Tilt BT" w:cs="AlphabetSoup Tilt BT" w:eastAsia="AlphabetSoup Tilt BT" w:hAnsi="AlphabetSoup Tilt BT"/>
              <w:color w:val="ff0000"/>
              <w:sz w:val="52"/>
              <w:szCs w:val="52"/>
              <w:rtl w:val="0"/>
            </w:rPr>
            <w:t xml:space="preserve">Simplex</w:t>
          </w:r>
          <w:r w:rsidDel="00000000" w:rsidR="00000000" w:rsidRPr="00000000">
            <w:rPr>
              <w:rFonts w:ascii="AlphabetSoup Tilt BT" w:cs="AlphabetSoup Tilt BT" w:eastAsia="AlphabetSoup Tilt BT" w:hAnsi="AlphabetSoup Tilt BT"/>
              <w:color w:val="ff0000"/>
              <w:sz w:val="52"/>
              <w:szCs w:val="52"/>
            </w:rPr>
            <w:drawing>
              <wp:inline distB="0" distT="0" distL="114300" distR="114300">
                <wp:extent cx="194945" cy="304165"/>
                <wp:effectExtent b="0" l="0" r="0" t="0"/>
                <wp:docPr id="1033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45" cy="3041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lphabetSoup Tilt BT" w:cs="AlphabetSoup Tilt BT" w:eastAsia="AlphabetSoup Tilt BT" w:hAnsi="AlphabetSoup Tilt BT"/>
              <w:color w:val="ff0000"/>
              <w:sz w:val="52"/>
              <w:szCs w:val="52"/>
              <w:rtl w:val="0"/>
            </w:rPr>
            <w:t xml:space="preserve">Callidus</w:t>
          </w:r>
        </w:p>
        <w:p w:rsidR="00000000" w:rsidDel="00000000" w:rsidP="00000000" w:rsidRDefault="00000000" w:rsidRPr="00000000" w14:paraId="0000009C">
          <w:pPr>
            <w:jc w:val="center"/>
            <w:rPr>
              <w:rFonts w:ascii="AlphabetSoup Tilt BT" w:cs="AlphabetSoup Tilt BT" w:eastAsia="AlphabetSoup Tilt BT" w:hAnsi="AlphabetSoup Tilt BT"/>
              <w:color w:val="1f497d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jc w:val="center"/>
            <w:rPr>
              <w:rFonts w:ascii="AlphabetSoup Tilt BT" w:cs="AlphabetSoup Tilt BT" w:eastAsia="AlphabetSoup Tilt BT" w:hAnsi="AlphabetSoup Tilt BT"/>
              <w:color w:val="1f497d"/>
              <w:sz w:val="28"/>
              <w:szCs w:val="28"/>
            </w:rPr>
          </w:pPr>
          <w:r w:rsidDel="00000000" w:rsidR="00000000" w:rsidRPr="00000000">
            <w:rPr>
              <w:rFonts w:ascii="AlphabetSoup Tilt BT" w:cs="AlphabetSoup Tilt BT" w:eastAsia="AlphabetSoup Tilt BT" w:hAnsi="AlphabetSoup Tilt BT"/>
              <w:color w:val="1f497d"/>
              <w:sz w:val="28"/>
              <w:szCs w:val="28"/>
              <w:rtl w:val="0"/>
            </w:rPr>
            <w:t xml:space="preserve">Einfach </w:t>
          </w:r>
          <w:r w:rsidDel="00000000" w:rsidR="00000000" w:rsidRPr="00000000">
            <w:rPr>
              <w:rFonts w:ascii="AlphabetSoup Tilt BT" w:cs="AlphabetSoup Tilt BT" w:eastAsia="AlphabetSoup Tilt BT" w:hAnsi="AlphabetSoup Tilt BT"/>
              <w:color w:val="ff0000"/>
              <w:sz w:val="28"/>
              <w:szCs w:val="28"/>
              <w:rtl w:val="0"/>
            </w:rPr>
            <w:t xml:space="preserve">&amp;</w:t>
          </w:r>
          <w:r w:rsidDel="00000000" w:rsidR="00000000" w:rsidRPr="00000000">
            <w:rPr>
              <w:rFonts w:ascii="AlphabetSoup Tilt BT" w:cs="AlphabetSoup Tilt BT" w:eastAsia="AlphabetSoup Tilt BT" w:hAnsi="AlphabetSoup Tilt BT"/>
              <w:color w:val="1f497d"/>
              <w:sz w:val="28"/>
              <w:szCs w:val="28"/>
              <w:rtl w:val="0"/>
            </w:rPr>
            <w:t xml:space="preserve"> Schlau</w:t>
          </w:r>
        </w:p>
        <w:p w:rsidR="00000000" w:rsidDel="00000000" w:rsidP="00000000" w:rsidRDefault="00000000" w:rsidRPr="00000000" w14:paraId="0000009E">
          <w:pPr>
            <w:jc w:val="center"/>
            <w:rPr>
              <w:rFonts w:ascii="Arial" w:cs="Arial" w:eastAsia="Arial" w:hAnsi="Arial"/>
              <w:color w:val="c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jc w:val="center"/>
            <w:rPr>
              <w:rFonts w:ascii="AlphabetSoup Tilt BT" w:cs="AlphabetSoup Tilt BT" w:eastAsia="AlphabetSoup Tilt BT" w:hAnsi="AlphabetSoup Tilt BT"/>
              <w:color w:val="ff0000"/>
              <w:sz w:val="72"/>
              <w:szCs w:val="72"/>
            </w:rPr>
          </w:pPr>
          <w:r w:rsidDel="00000000" w:rsidR="00000000" w:rsidRPr="00000000">
            <w:rPr>
              <w:rFonts w:ascii="Arial" w:cs="Arial" w:eastAsia="Arial" w:hAnsi="Arial"/>
              <w:color w:val="c00000"/>
              <w:rtl w:val="0"/>
            </w:rPr>
            <w:t xml:space="preserve">w w w . s i m p l e x – c a l l i d u s . d 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0">
          <w:pPr>
            <w:keepNext w:val="1"/>
            <w:rPr>
              <w:rFonts w:ascii="Arial" w:cs="Arial" w:eastAsia="Arial" w:hAnsi="Arial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1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left" w:leader="none" w:pos="650"/>
            </w:tabs>
            <w:rPr>
              <w:rFonts w:ascii="UechiGothic" w:cs="UechiGothic" w:eastAsia="UechiGothic" w:hAnsi="UechiGothic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rPr>
              <w:rFonts w:ascii="UechiGothic" w:cs="UechiGothic" w:eastAsia="UechiGothic" w:hAnsi="UechiGothic"/>
              <w:sz w:val="6"/>
              <w:szCs w:val="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95" w:hRule="atLeast"/>
        <w:tblHeader w:val="0"/>
      </w:trPr>
      <w:tc>
        <w:tcPr>
          <w:gridSpan w:val="3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4">
          <w:pPr>
            <w:jc w:val="center"/>
            <w:rPr>
              <w:rFonts w:ascii="Arial" w:cs="Arial" w:eastAsia="Arial" w:hAnsi="Arial"/>
              <w:sz w:val="8"/>
              <w:szCs w:val="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pBdr>
              <w:top w:color="000000" w:space="1" w:sz="4" w:val="single"/>
              <w:bottom w:color="000000" w:space="1" w:sz="4" w:val="single"/>
            </w:pBdr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Bildende Kinder- und Jugendprojekte in Zusammenarbeit mit Geierlamm Entertainment und dem Märchenparadies Fabelzier.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490.0" w:type="dxa"/>
      <w:jc w:val="left"/>
      <w:tblInd w:w="-709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490"/>
      <w:tblGridChange w:id="0">
        <w:tblGrid>
          <w:gridCol w:w="10490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AA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lphabetSoup Tilt BT" w:cs="AlphabetSoup Tilt BT" w:eastAsia="AlphabetSoup Tilt BT" w:hAnsi="AlphabetSoup Tilt BT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lphabetSoup Tilt BT" w:cs="AlphabetSoup Tilt BT" w:eastAsia="AlphabetSoup Tilt BT" w:hAnsi="AlphabetSoup Tilt BT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S i m p l e x  </w:t>
          </w:r>
          <w:r w:rsidDel="00000000" w:rsidR="00000000" w:rsidRPr="00000000">
            <w:rPr>
              <w:rFonts w:ascii="Mariage" w:cs="Mariage" w:eastAsia="Mariage" w:hAnsi="Mariage"/>
              <w:b w:val="0"/>
              <w:i w:val="0"/>
              <w:smallCaps w:val="0"/>
              <w:strike w:val="0"/>
              <w:color w:val="ff0000"/>
              <w:sz w:val="120"/>
              <w:szCs w:val="120"/>
              <w:u w:val="none"/>
              <w:shd w:fill="auto" w:val="clear"/>
              <w:vertAlign w:val="baseline"/>
            </w:rPr>
            <w:pict>
              <v:shape id="_x0000_s0" style="width:17pt;height:18pt;" type="#_x0000_t75">
                <v:imagedata r:id="rId3" o:title=""/>
              </v:shape>
              <o:OLEObject DrawAspect="Content" r:id="rId4" ObjectID="_1451210025" ProgID="CorelPHOTOPAINT.Image.14" ShapeID="_x0000_s0" Type="Embed"/>
            </w:pict>
          </w:r>
          <w:r w:rsidDel="00000000" w:rsidR="00000000" w:rsidRPr="00000000">
            <w:rPr>
              <w:rFonts w:ascii="AlphabetSoup Tilt BT" w:cs="AlphabetSoup Tilt BT" w:eastAsia="AlphabetSoup Tilt BT" w:hAnsi="AlphabetSoup Tilt BT"/>
              <w:b w:val="0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  c a l l i d u s</w:t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9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60" w:lineRule="auto"/>
      <w:ind w:left="-425.19685039370086" w:right="-436.062992125984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60" w:lineRule="auto"/>
      <w:ind w:left="-425.19685039370086" w:right="-436.062992125984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>
    <w:name w:val="Standard"/>
    <w:next w:val="Standar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Überschrift1">
    <w:name w:val="Überschrift 1"/>
    <w:basedOn w:val="Standard"/>
    <w:next w:val="Stand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Garamond" w:hAnsi="Garamond"/>
      <w:w w:val="100"/>
      <w:position w:val="-1"/>
      <w:sz w:val="28"/>
      <w:szCs w:val="20"/>
      <w:effect w:val="none"/>
      <w:vertAlign w:val="baseline"/>
      <w:cs w:val="0"/>
      <w:em w:val="none"/>
      <w:lang w:bidi="ar-SA" w:eastAsia="de-DE" w:val="de-DE"/>
    </w:rPr>
  </w:style>
  <w:style w:type="paragraph" w:styleId="Überschrift2">
    <w:name w:val="Überschrift 2"/>
    <w:basedOn w:val="Standard"/>
    <w:next w:val="Stand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Mariage" w:hAnsi="Mariage"/>
      <w:color w:val="ff0000"/>
      <w:w w:val="100"/>
      <w:position w:val="-1"/>
      <w:sz w:val="120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Überschrift3">
    <w:name w:val="Überschrift 3"/>
    <w:basedOn w:val="Standard"/>
    <w:next w:val="Stand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Überschrift4">
    <w:name w:val="Überschrift 4"/>
    <w:basedOn w:val="Standard"/>
    <w:next w:val="Standard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Überschrift5">
    <w:name w:val="Überschrift 5"/>
    <w:basedOn w:val="Standard"/>
    <w:next w:val="Standard"/>
    <w:autoRedefine w:val="0"/>
    <w:hidden w:val="0"/>
    <w:qFormat w:val="0"/>
    <w:pPr>
      <w:keepNext w:val="1"/>
      <w:suppressAutoHyphens w:val="1"/>
      <w:spacing w:after="120" w:before="120" w:line="1" w:lineRule="atLeast"/>
      <w:ind w:right="110" w:leftChars="-1" w:rightChars="0" w:firstLineChars="-1"/>
      <w:textDirection w:val="btLr"/>
      <w:textAlignment w:val="top"/>
      <w:outlineLvl w:val="4"/>
    </w:pPr>
    <w:rPr>
      <w:rFonts w:ascii="Arial" w:cs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Überschrift6">
    <w:name w:val="Überschrift 6"/>
    <w:basedOn w:val="Standard"/>
    <w:next w:val="Standard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cs="Arial" w:hAnsi="Arial"/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Überschrift7">
    <w:name w:val="Überschrift 7"/>
    <w:basedOn w:val="Standard"/>
    <w:next w:val="Standard"/>
    <w:autoRedefine w:val="0"/>
    <w:hidden w:val="0"/>
    <w:qFormat w:val="0"/>
    <w:pPr>
      <w:keepNext w:val="1"/>
      <w:suppressAutoHyphens w:val="1"/>
      <w:spacing w:after="120" w:before="120" w:line="1" w:lineRule="atLeast"/>
      <w:ind w:right="-70" w:leftChars="-1" w:rightChars="0" w:firstLineChars="-1"/>
      <w:textDirection w:val="btLr"/>
      <w:textAlignment w:val="top"/>
      <w:outlineLvl w:val="6"/>
    </w:pPr>
    <w:rPr>
      <w:rFonts w:ascii="Arial" w:cs="Arial" w:hAnsi="Arial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Überschrift8">
    <w:name w:val="Überschrift 8"/>
    <w:basedOn w:val="Standard"/>
    <w:next w:val="Stand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Überschrift9">
    <w:name w:val="Überschrift 9"/>
    <w:basedOn w:val="Standard"/>
    <w:next w:val="Standard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aleTabelle">
    <w:name w:val="Normale Tabelle"/>
    <w:next w:val="NormaleTabel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aleTabel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>
    <w:name w:val="Keine Liste"/>
    <w:next w:val="Kei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Kopfzeile">
    <w:name w:val="Kopfzeile"/>
    <w:basedOn w:val="Standard"/>
    <w:next w:val="Kopfzeil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Fußzeile">
    <w:name w:val="Fußzeile"/>
    <w:basedOn w:val="Standard"/>
    <w:next w:val="Fußzeil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Beschriftung">
    <w:name w:val="Beschriftung"/>
    <w:basedOn w:val="Standard"/>
    <w:next w:val="Standar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u w:val="single"/>
      <w:effect w:val="none"/>
      <w:vertAlign w:val="baseline"/>
      <w:cs w:val="0"/>
      <w:em w:val="none"/>
      <w:lang w:bidi="ar-SA" w:eastAsia="de-DE" w:val="it-IT"/>
    </w:rPr>
  </w:style>
  <w:style w:type="paragraph" w:styleId="Textkörper">
    <w:name w:val="Textkörper"/>
    <w:basedOn w:val="Standard"/>
    <w:next w:val="Textkörper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körper2">
    <w:name w:val="Textkörper 2"/>
    <w:basedOn w:val="Standard"/>
    <w:next w:val="Textkörper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Textkörper3">
    <w:name w:val="Textkörper 3"/>
    <w:basedOn w:val="Standard"/>
    <w:next w:val="Textkörper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Standard(Web)">
    <w:name w:val="Standard (Web)"/>
    <w:basedOn w:val="Standard"/>
    <w:next w:val="Standard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9"/>
      <w:szCs w:val="19"/>
      <w:effect w:val="none"/>
      <w:vertAlign w:val="baseline"/>
      <w:cs w:val="0"/>
      <w:em w:val="none"/>
      <w:lang w:bidi="ar-SA" w:eastAsia="de-DE" w:val="de-DE"/>
    </w:rPr>
  </w:style>
  <w:style w:type="character" w:styleId="Fett">
    <w:name w:val="Fett"/>
    <w:next w:val="Fett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extkörper-Zeileneinzug">
    <w:name w:val="Textkörper-Zeileneinzug"/>
    <w:basedOn w:val="Standard"/>
    <w:next w:val="Textkörper-Zeileneinzug"/>
    <w:autoRedefine w:val="0"/>
    <w:hidden w:val="0"/>
    <w:qFormat w:val="0"/>
    <w:pPr>
      <w:tabs>
        <w:tab w:val="left" w:leader="none" w:pos="2340"/>
      </w:tabs>
      <w:suppressAutoHyphens w:val="1"/>
      <w:spacing w:line="1" w:lineRule="atLeast"/>
      <w:ind w:left="11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character" w:styleId="BesuchterHyperlink">
    <w:name w:val="BesuchterHyperlink"/>
    <w:next w:val="Besuchter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eberschrift">
    <w:name w:val="ueberschrift"/>
    <w:basedOn w:val="Absatz-Standardschriftart"/>
    <w:next w:val="ueberschrif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">
    <w:name w:val="text"/>
    <w:basedOn w:val="Absatz-Standardschriftart"/>
    <w:next w:val="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enraster">
    <w:name w:val="Tabellenraster"/>
    <w:basedOn w:val="NormaleTabelle"/>
    <w:next w:val="Tabellenras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enraster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KopfzeileZchn">
    <w:name w:val="Kopfzeile Zchn"/>
    <w:next w:val="KopfzeileZchn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Listenabsatz">
    <w:name w:val="Listenabsatz"/>
    <w:basedOn w:val="Standard"/>
    <w:next w:val="Listenabsatz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de-DE" w:val="de-DE"/>
    </w:rPr>
  </w:style>
  <w:style w:type="paragraph" w:styleId="Sprechblasentext">
    <w:name w:val="Sprechblasentext"/>
    <w:basedOn w:val="Standard"/>
    <w:next w:val="Sprechblase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de-DE" w:val="de-DE"/>
    </w:rPr>
  </w:style>
  <w:style w:type="character" w:styleId="SprechblasentextZchn">
    <w:name w:val="Sprechblasentext Zchn"/>
    <w:next w:val="SprechblasentextZchn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1.pn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q5kVd/RDy0Tf3L+MMECsNb0PQ==">CgMxLjA4AHIhMW5mNzZxNnNLVW5tRXdNU3ZOdTJhYjZRaHFEdTJUOUdt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2023-08-21T07:55:00Z</dcterms:created>
  <dc:creator>Andrea Kühne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