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2E7DD1"/>
          <w:sz w:val="22"/>
          <w:szCs w:val="22"/>
        </w:rPr>
        <w:t xml:space="preserve">SKYLAND COMMAND CENTER</w:t>
      </w:r>
    </w:p>
    <w:p>
      <w:pPr>
        <w:spacing w:after="0" w:before="40"/>
      </w:pPr>
      <w:r>
        <w:rPr>
          <w:b/>
          <w:bCs/>
          <w:color w:val="0B1F3A"/>
          <w:sz w:val="60"/>
          <w:szCs w:val="60"/>
        </w:rPr>
        <w:t xml:space="preserve">Go High Level</w:t>
      </w:r>
    </w:p>
    <w:p>
      <w:pPr>
        <w:spacing w:after="40" w:before="0"/>
      </w:pPr>
      <w:r>
        <w:rPr>
          <w:color w:val="0B1F3A"/>
          <w:sz w:val="34"/>
          <w:szCs w:val="34"/>
        </w:rPr>
        <w:t xml:space="preserve">Marknadsanalys, gap-analys &amp; implementationsplan</w:t>
      </w:r>
    </w:p>
    <w:p>
      <w:pPr>
        <w:spacing w:after="400" w:before="60"/>
      </w:pPr>
      <w:r>
        <w:rPr>
          <w:i/>
          <w:iCs/>
          <w:color w:val="555555"/>
          <w:sz w:val="24"/>
          <w:szCs w:val="24"/>
        </w:rPr>
        <w:t xml:space="preserve">Vad vi lär oss av GHL — och hur vi bygger bort behovet av att köpa deras tjänst</w:t>
      </w:r>
    </w:p>
    <w:p>
      <w:pPr>
        <w:pBdr>
          <w:bottom w:val="single" w:color="C9D6E5" w:sz="6"/>
        </w:pBdr>
        <w:spacing w:after="80" w:before="80"/>
      </w:pPr>
    </w:p>
    <w:p>
      <w:pPr>
        <w:spacing w:before="120"/>
      </w:pPr>
      <w:r>
        <w:rPr>
          <w:color w:val="333333"/>
          <w:sz w:val="21"/>
          <w:szCs w:val="21"/>
        </w:rPr>
        <w:t xml:space="preserve">Framtagen för: Joakim, operatör Skyland-ekosystemet</w:t>
      </w:r>
    </w:p>
    <w:p>
      <w:r>
        <w:rPr>
          <w:color w:val="333333"/>
          <w:sz w:val="21"/>
          <w:szCs w:val="21"/>
        </w:rPr>
        <w:t xml:space="preserve">Datum: 11 juli 2026</w:t>
      </w:r>
    </w:p>
    <w:p>
      <w:r>
        <w:rPr>
          <w:color w:val="333333"/>
          <w:sz w:val="21"/>
          <w:szCs w:val="21"/>
        </w:rPr>
        <w:t xml:space="preserve">Omfattning: GHL-plattformsgenomlysning → SCC gap-analys → strategisk roadmap + tekniska tickets</w:t>
      </w:r>
    </w:p>
    <w:p>
      <w:r>
        <w:br w:type="page"/>
      </w:r>
    </w:p>
    <w:p>
      <w:pPr>
        <w:pStyle w:val="Heading1"/>
        <w:spacing w:after="140" w:before="320"/>
      </w:pPr>
      <w:r>
        <w:rPr>
          <w:b/>
          <w:bCs/>
          <w:color w:val="0B1F3A"/>
          <w:sz w:val="30"/>
          <w:szCs w:val="30"/>
        </w:rPr>
        <w:t xml:space="preserve">Innehåll</w:t>
      </w:r>
    </w:p>
    <w:sdt>
      <w:sdtPr>
        <w:alias w:val="Innehåll"/>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0B1F3A"/>
          <w:sz w:val="30"/>
          <w:szCs w:val="30"/>
        </w:rPr>
        <w:t xml:space="preserve">1. Ledningssammanfattning</w:t>
      </w:r>
    </w:p>
    <w:p>
      <w:pPr>
        <w:spacing w:after="120" w:line="276"/>
      </w:pPr>
      <w:r>
        <w:rPr>
          <w:b w:val="false"/>
          <w:bCs w:val="false"/>
          <w:i w:val="false"/>
          <w:iCs w:val="false"/>
          <w:color w:val="222222"/>
          <w:sz w:val="21"/>
          <w:szCs w:val="21"/>
        </w:rPr>
        <w:t xml:space="preserve">Go High Level (GHL) är en amerikansk "all-in-one"-plattform byggd för marknadsföringsbyråer. Den paketerar CRM, försäljningspipelines, funnel- och webbplatsbyggare, e-post- och SMS-marknadsföring, automationsmotor, bokningskalender, konversations-AI, röst-AI, recensionshantering, betalningar/fakturering och kurser/medlemskap i en enda produkt. Det verkligt strategiska med GHL är inte enskilda funktioner utan dess SaaS-läge (white-label): en byrå kan ompaketera hela plattformen under eget varumärke och sälja den vidare som sin egen mjukvara, med automatisk kontoetablering, mallar ("snapshots") och påslag på förbrukning ("rebilling"). Det är samma affär som Skyland i praktiken redan bedriver.</w:t>
      </w:r>
    </w:p>
    <w:p>
      <w:pPr>
        <w:spacing w:after="120" w:line="276"/>
      </w:pPr>
      <w:r>
        <w:rPr>
          <w:b/>
          <w:bCs/>
          <w:i w:val="false"/>
          <w:iCs w:val="false"/>
          <w:color w:val="0B1F3A"/>
          <w:sz w:val="21"/>
          <w:szCs w:val="21"/>
        </w:rPr>
        <w:t xml:space="preserve">Kärninsikten: </w:t>
      </w:r>
      <w:r>
        <w:rPr>
          <w:b w:val="false"/>
          <w:bCs w:val="false"/>
          <w:i w:val="false"/>
          <w:iCs w:val="false"/>
          <w:color w:val="222222"/>
          <w:sz w:val="21"/>
          <w:szCs w:val="21"/>
        </w:rPr>
        <w:t xml:space="preserve">SCC och GHL löser överlappande problem från motsatta håll. GHL är en bred, mognadsstark verktygslåda med svag AI-orkestrering — funktionerna är "good enough, inte best-in-class", och den underliggande automationen är regelbaserad (trigger → villkor → action), inte agentdriven. SCC är tvärtom: en stark AI-orkestreringskärna (Master Brain, sub-agenter, task-approve-flöde, kostnadsspårning) men saknar nästan hela det kommersiella exekveringslagret som GHL äger — CRM-datamodell, pipelines, meddelandekanaler, kalender, funnels och white-label-mekaniken.</w:t>
      </w:r>
    </w:p>
    <w:tbl>
      <w:tblPr>
        <w:tblW w:type="dxa" w:w="9360"/>
        <w:tblBorders>
          <w:top w:val="single" w:color="EEF3FA" w:sz="4"/>
          <w:left w:val="single" w:color="0B1F3A" w:sz="24"/>
          <w:bottom w:val="single" w:color="EEF3FA" w:sz="4"/>
          <w:right w:val="single" w:color="EEF3FA" w:sz="4"/>
          <w:insideH w:val="none"/>
          <w:insideV w:val="none"/>
        </w:tblBorders>
      </w:tblPr>
      <w:tblGrid>
        <w:gridCol w:w="9360"/>
      </w:tblGrid>
      <w:tr>
        <w:tc>
          <w:tcPr>
            <w:tcW w:type="dxa" w:w="9360"/>
            <w:shd w:fill="EEF3FA" w:color="auto" w:val="clear"/>
            <w:tcMar>
              <w:top w:type="dxa" w:w="120"/>
              <w:left w:type="dxa" w:w="160"/>
              <w:bottom w:type="dxa" w:w="120"/>
              <w:right w:type="dxa" w:w="160"/>
            </w:tcMar>
          </w:tcPr>
          <w:p>
            <w:pPr>
              <w:spacing w:after="40"/>
            </w:pPr>
            <w:r>
              <w:rPr>
                <w:b/>
                <w:bCs/>
                <w:color w:val="0B1F3A"/>
                <w:sz w:val="21"/>
                <w:szCs w:val="21"/>
              </w:rPr>
              <w:t xml:space="preserve">Rekommendation i en mening</w:t>
            </w:r>
          </w:p>
          <w:p>
            <w:pPr>
              <w:spacing w:after="40" w:line="268"/>
            </w:pPr>
            <w:r>
              <w:rPr>
                <w:color w:val="222222"/>
                <w:sz w:val="20"/>
                <w:szCs w:val="20"/>
              </w:rPr>
              <w:t xml:space="preserve">Bygg inte en GHL-klon. Bygg det tunna, AI-drivna exekveringslager ovanpå SCC:s befintliga kärna som gör att ni aldrig behöver GHL — och gör AI-orkestreringen till er faktiska differentiering, eftersom det är exakt vad GHL är svagast på.</w:t>
            </w:r>
          </w:p>
        </w:tc>
      </w:tr>
    </w:tbl>
    <w:p>
      <w:pPr>
        <w:pStyle w:val="Heading3"/>
        <w:spacing w:after="80" w:before="180"/>
      </w:pPr>
      <w:r>
        <w:rPr>
          <w:b/>
          <w:bCs/>
          <w:color w:val="2E7DD1"/>
          <w:sz w:val="22"/>
          <w:szCs w:val="22"/>
        </w:rPr>
        <w:t xml:space="preserve">De fem lärdomarna vi tar med oss från GHL</w:t>
      </w:r>
    </w:p>
    <w:p>
      <w:pPr>
        <w:pStyle w:val="ListParagraph"/>
        <w:numPr>
          <w:ilvl w:val="0"/>
          <w:numId w:val="2"/>
        </w:numPr>
        <w:spacing w:after="70" w:line="268"/>
      </w:pPr>
      <w:r>
        <w:rPr>
          <w:b/>
          <w:bCs/>
          <w:i w:val="false"/>
          <w:iCs w:val="false"/>
          <w:color w:val="222222"/>
          <w:sz w:val="21"/>
          <w:szCs w:val="21"/>
        </w:rPr>
        <w:t xml:space="preserve">Datamodellen är motorn. </w:t>
      </w:r>
      <w:r>
        <w:rPr>
          <w:b w:val="false"/>
          <w:bCs w:val="false"/>
          <w:i w:val="false"/>
          <w:iCs w:val="false"/>
          <w:color w:val="222222"/>
          <w:sz w:val="21"/>
          <w:szCs w:val="21"/>
        </w:rPr>
        <w:t xml:space="preserve">GHL kretsar kring en contact/opportunity/pipeline-modell. SCC har idag "customers" + "activities" men ingen riktig contact-/lead-entitet med pipeline-status. Detta är den enskilt viktigaste luckan.</w:t>
      </w:r>
    </w:p>
    <w:p>
      <w:pPr>
        <w:pStyle w:val="ListParagraph"/>
        <w:numPr>
          <w:ilvl w:val="0"/>
          <w:numId w:val="2"/>
        </w:numPr>
        <w:spacing w:after="70" w:line="268"/>
      </w:pPr>
      <w:r>
        <w:rPr>
          <w:b/>
          <w:bCs/>
          <w:i w:val="false"/>
          <w:iCs w:val="false"/>
          <w:color w:val="222222"/>
          <w:sz w:val="21"/>
          <w:szCs w:val="21"/>
        </w:rPr>
        <w:t xml:space="preserve">En unified conversation-inbox. </w:t>
      </w:r>
      <w:r>
        <w:rPr>
          <w:b w:val="false"/>
          <w:bCs w:val="false"/>
          <w:i w:val="false"/>
          <w:iCs w:val="false"/>
          <w:color w:val="222222"/>
          <w:sz w:val="21"/>
          <w:szCs w:val="21"/>
        </w:rPr>
        <w:t xml:space="preserve">All kommunikation (SMS, e-post, röst, webbformulär) landar i EN tråd per kontakt. SCC loggar leads som activities men saknar den sammanhållna konversationsvyn.</w:t>
      </w:r>
    </w:p>
    <w:p>
      <w:pPr>
        <w:pStyle w:val="ListParagraph"/>
        <w:numPr>
          <w:ilvl w:val="0"/>
          <w:numId w:val="2"/>
        </w:numPr>
        <w:spacing w:after="70" w:line="268"/>
      </w:pPr>
      <w:r>
        <w:rPr>
          <w:b/>
          <w:bCs/>
          <w:i w:val="false"/>
          <w:iCs w:val="false"/>
          <w:color w:val="222222"/>
          <w:sz w:val="21"/>
          <w:szCs w:val="21"/>
        </w:rPr>
        <w:t xml:space="preserve">Automation som produkt, inte kod. </w:t>
      </w:r>
      <w:r>
        <w:rPr>
          <w:b w:val="false"/>
          <w:bCs w:val="false"/>
          <w:i w:val="false"/>
          <w:iCs w:val="false"/>
          <w:color w:val="222222"/>
          <w:sz w:val="21"/>
          <w:szCs w:val="21"/>
        </w:rPr>
        <w:t xml:space="preserve">GHL:s workflow-byggare låter icke-tekniker bygga trigger→action-flöden. SCC har en kraftfullare motor (agenter) men den är inte exponerad som en byggbar produkt.</w:t>
      </w:r>
    </w:p>
    <w:p>
      <w:pPr>
        <w:pStyle w:val="ListParagraph"/>
        <w:numPr>
          <w:ilvl w:val="0"/>
          <w:numId w:val="2"/>
        </w:numPr>
        <w:spacing w:after="70" w:line="268"/>
      </w:pPr>
      <w:r>
        <w:rPr>
          <w:b/>
          <w:bCs/>
          <w:i w:val="false"/>
          <w:iCs w:val="false"/>
          <w:color w:val="222222"/>
          <w:sz w:val="21"/>
          <w:szCs w:val="21"/>
        </w:rPr>
        <w:t xml:space="preserve">Bokning som stänger loopen. </w:t>
      </w:r>
      <w:r>
        <w:rPr>
          <w:b w:val="false"/>
          <w:bCs w:val="false"/>
          <w:i w:val="false"/>
          <w:iCs w:val="false"/>
          <w:color w:val="222222"/>
          <w:sz w:val="21"/>
          <w:szCs w:val="21"/>
        </w:rPr>
        <w:t xml:space="preserve">Röst-/chatt-AI som faktiskt bokar in möten mot en kalender med buffertar och konfliktregler är GHL:s starkaste ROI-funktion för lokala tjänsteföretag — precis Skylands kundsegment.</w:t>
      </w:r>
    </w:p>
    <w:p>
      <w:pPr>
        <w:pStyle w:val="ListParagraph"/>
        <w:numPr>
          <w:ilvl w:val="0"/>
          <w:numId w:val="2"/>
        </w:numPr>
        <w:spacing w:after="70" w:line="268"/>
      </w:pPr>
      <w:r>
        <w:rPr>
          <w:b/>
          <w:bCs/>
          <w:i w:val="false"/>
          <w:iCs w:val="false"/>
          <w:color w:val="222222"/>
          <w:sz w:val="21"/>
          <w:szCs w:val="21"/>
        </w:rPr>
        <w:t xml:space="preserve">White-label + rebilling = affärsmodellen. </w:t>
      </w:r>
      <w:r>
        <w:rPr>
          <w:b w:val="false"/>
          <w:bCs w:val="false"/>
          <w:i w:val="false"/>
          <w:iCs w:val="false"/>
          <w:color w:val="222222"/>
          <w:sz w:val="21"/>
          <w:szCs w:val="21"/>
        </w:rPr>
        <w:t xml:space="preserve">Snapshots (mallar), automatisk kontoetablering och påslag på förbrukning är det som gör GHL till en skalbar SaaS. Om Skyland vill sälja kundinstanser är detta ritningen.</w:t>
      </w:r>
    </w:p>
    <w:p>
      <w:r>
        <w:br w:type="page"/>
      </w:r>
    </w:p>
    <w:p>
      <w:pPr>
        <w:pStyle w:val="Heading1"/>
        <w:spacing w:after="140" w:before="320"/>
      </w:pPr>
      <w:r>
        <w:rPr>
          <w:b/>
          <w:bCs/>
          <w:color w:val="0B1F3A"/>
          <w:sz w:val="30"/>
          <w:szCs w:val="30"/>
        </w:rPr>
        <w:t xml:space="preserve">2. Vad Go High Level är och hur det fungerar</w:t>
      </w:r>
    </w:p>
    <w:p>
      <w:pPr>
        <w:spacing w:after="120" w:line="276"/>
      </w:pPr>
      <w:r>
        <w:rPr>
          <w:b w:val="false"/>
          <w:bCs w:val="false"/>
          <w:i w:val="false"/>
          <w:iCs w:val="false"/>
          <w:color w:val="222222"/>
          <w:sz w:val="21"/>
          <w:szCs w:val="21"/>
        </w:rPr>
        <w:t xml:space="preserve">GHL positioneras som "allt-i-ett" och marknadsför att den ersätter 400–600 USD/månad i separata verktyg. Grundpriset börjar runt 97 USD/månad; obegränsade kontakter och användare ingår på alla nivåer. Nedan bryts plattformen ned i sina funktionsblock.</w:t>
      </w:r>
    </w:p>
    <w:p>
      <w:pPr>
        <w:pStyle w:val="Heading2"/>
        <w:spacing w:after="100" w:before="240"/>
      </w:pPr>
      <w:r>
        <w:rPr>
          <w:b/>
          <w:bCs/>
          <w:color w:val="1E4E8C"/>
          <w:sz w:val="25"/>
          <w:szCs w:val="25"/>
        </w:rPr>
        <w:t xml:space="preserve">2.1 Funktionsblocken</w:t>
      </w:r>
    </w:p>
    <w:tbl>
      <w:tblPr>
        <w:tblW w:type="dxa" w:w="9360"/>
        <w:tblBorders>
          <w:top w:val="single" w:color="C9D6E5" w:sz="4"/>
          <w:left w:val="single" w:color="C9D6E5" w:sz="4"/>
          <w:bottom w:val="single" w:color="C9D6E5" w:sz="4"/>
          <w:right w:val="single" w:color="C9D6E5" w:sz="4"/>
          <w:insideH w:val="single" w:color="DCE6F0" w:sz="4"/>
          <w:insideV w:val="single" w:color="DCE6F0" w:sz="4"/>
        </w:tblBorders>
      </w:tblPr>
      <w:tblGrid>
        <w:gridCol w:w="2600"/>
        <w:gridCol w:w="6760"/>
      </w:tblGrid>
      <w:tr>
        <w:trPr>
          <w:tblHeader/>
        </w:trPr>
        <w:tc>
          <w:tcPr>
            <w:tcW w:type="dxa" w:w="2600"/>
            <w:shd w:fill="0B1F3A" w:color="auto" w:val="clear"/>
            <w:tcMar>
              <w:top w:type="dxa" w:w="60"/>
              <w:left w:type="dxa" w:w="100"/>
              <w:bottom w:type="dxa" w:w="60"/>
              <w:right w:type="dxa" w:w="100"/>
            </w:tcMar>
          </w:tcPr>
          <w:p>
            <w:pPr>
              <w:spacing w:after="20" w:line="250"/>
              <w:jc w:val="left"/>
            </w:pPr>
            <w:r>
              <w:rPr>
                <w:b/>
                <w:bCs/>
                <w:color w:val="FFFFFF"/>
                <w:sz w:val="19"/>
                <w:szCs w:val="19"/>
              </w:rPr>
              <w:t xml:space="preserve">Block</w:t>
            </w:r>
          </w:p>
        </w:tc>
        <w:tc>
          <w:tcPr>
            <w:tcW w:type="dxa" w:w="6760"/>
            <w:shd w:fill="0B1F3A" w:color="auto" w:val="clear"/>
            <w:tcMar>
              <w:top w:type="dxa" w:w="60"/>
              <w:left w:type="dxa" w:w="100"/>
              <w:bottom w:type="dxa" w:w="60"/>
              <w:right w:type="dxa" w:w="100"/>
            </w:tcMar>
          </w:tcPr>
          <w:p>
            <w:pPr>
              <w:spacing w:after="20" w:line="250"/>
              <w:jc w:val="left"/>
            </w:pPr>
            <w:r>
              <w:rPr>
                <w:b/>
                <w:bCs/>
                <w:color w:val="FFFFFF"/>
                <w:sz w:val="19"/>
                <w:szCs w:val="19"/>
              </w:rPr>
              <w:t xml:space="preserve">Vad det gör</w:t>
            </w:r>
          </w:p>
        </w:tc>
      </w:tr>
      <w:tr>
        <w:tc>
          <w:tcPr>
            <w:tcW w:type="dxa" w:w="26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CRM &amp; pipelines</w:t>
            </w:r>
          </w:p>
        </w:tc>
        <w:tc>
          <w:tcPr>
            <w:tcW w:type="dxa" w:w="6760"/>
            <w:tcMar>
              <w:top w:type="dxa" w:w="60"/>
              <w:left w:type="dxa" w:w="100"/>
              <w:bottom w:type="dxa" w:w="60"/>
              <w:right w:type="dxa" w:w="100"/>
            </w:tcMar>
          </w:tcPr>
          <w:p>
            <w:pPr>
              <w:spacing w:after="20" w:line="250"/>
              <w:jc w:val="left"/>
            </w:pPr>
            <w:r>
              <w:rPr>
                <w:b w:val="false"/>
                <w:bCs w:val="false"/>
                <w:color w:val="222222"/>
                <w:sz w:val="19"/>
                <w:szCs w:val="19"/>
              </w:rPr>
              <w:t xml:space="preserve">Kontakthantering, visuella pipeline-vyer, smart lists, custom fields, taggar, konversationsinbox och full interaktionshistorik över e-post/SMS/samtal.</w:t>
            </w:r>
          </w:p>
        </w:tc>
      </w:tr>
      <w:tr>
        <w:tc>
          <w:tcPr>
            <w:tcW w:type="dxa" w:w="26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Funnels &amp; websidor</w:t>
            </w:r>
          </w:p>
        </w:tc>
        <w:tc>
          <w:tcPr>
            <w:tcW w:type="dxa" w:w="6760"/>
            <w:tcMar>
              <w:top w:type="dxa" w:w="60"/>
              <w:left w:type="dxa" w:w="100"/>
              <w:bottom w:type="dxa" w:w="60"/>
              <w:right w:type="dxa" w:w="100"/>
            </w:tcMar>
          </w:tcPr>
          <w:p>
            <w:pPr>
              <w:spacing w:after="20" w:line="250"/>
              <w:jc w:val="left"/>
            </w:pPr>
            <w:r>
              <w:rPr>
                <w:b w:val="false"/>
                <w:bCs w:val="false"/>
                <w:color w:val="222222"/>
                <w:sz w:val="19"/>
                <w:szCs w:val="19"/>
              </w:rPr>
              <w:t xml:space="preserve">Bygg landningssidor, upsells, formulär och kalender-embeds utan WordPress/ClickFunnels. Inbyggd formulär- och enkätbyggare med villkorslogik.</w:t>
            </w:r>
          </w:p>
        </w:tc>
      </w:tr>
      <w:tr>
        <w:tc>
          <w:tcPr>
            <w:tcW w:type="dxa" w:w="26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Automationsmotor</w:t>
            </w:r>
          </w:p>
        </w:tc>
        <w:tc>
          <w:tcPr>
            <w:tcW w:type="dxa" w:w="6760"/>
            <w:tcMar>
              <w:top w:type="dxa" w:w="60"/>
              <w:left w:type="dxa" w:w="100"/>
              <w:bottom w:type="dxa" w:w="60"/>
              <w:right w:type="dxa" w:w="100"/>
            </w:tcMar>
          </w:tcPr>
          <w:p>
            <w:pPr>
              <w:spacing w:after="20" w:line="250"/>
              <w:jc w:val="left"/>
            </w:pPr>
            <w:r>
              <w:rPr>
                <w:b w:val="false"/>
                <w:bCs w:val="false"/>
                <w:color w:val="222222"/>
                <w:sz w:val="19"/>
                <w:szCs w:val="19"/>
              </w:rPr>
              <w:t xml:space="preserve">Drag-and-drop-byggare med logik trigger → villkor → action. Ett flöde kan blanda SMS, e-post, voicemail-drops, interna notiser, webhook-anrop, pipeline-uppdateringar, taggändringar och uppgiftstilldelning.</w:t>
            </w:r>
          </w:p>
        </w:tc>
      </w:tr>
      <w:tr>
        <w:tc>
          <w:tcPr>
            <w:tcW w:type="dxa" w:w="26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Konversations-AI</w:t>
            </w:r>
          </w:p>
        </w:tc>
        <w:tc>
          <w:tcPr>
            <w:tcW w:type="dxa" w:w="6760"/>
            <w:tcMar>
              <w:top w:type="dxa" w:w="60"/>
              <w:left w:type="dxa" w:w="100"/>
              <w:bottom w:type="dxa" w:w="60"/>
              <w:right w:type="dxa" w:w="100"/>
            </w:tcMar>
          </w:tcPr>
          <w:p>
            <w:pPr>
              <w:spacing w:after="20" w:line="250"/>
              <w:jc w:val="left"/>
            </w:pPr>
            <w:r>
              <w:rPr>
                <w:b w:val="false"/>
                <w:bCs w:val="false"/>
                <w:color w:val="222222"/>
                <w:sz w:val="19"/>
                <w:szCs w:val="19"/>
              </w:rPr>
              <w:t xml:space="preserve">AI-agent som svarar leads via SMS/chatt dygnet runt, tränas på webbplats-URL/PDF/Q&amp;A, auto-språkdetektering (50+ språk) och driver "bot goals" som att boka möte eller kvalificera.</w:t>
            </w:r>
          </w:p>
        </w:tc>
      </w:tr>
      <w:tr>
        <w:tc>
          <w:tcPr>
            <w:tcW w:type="dxa" w:w="26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Röst-AI</w:t>
            </w:r>
          </w:p>
        </w:tc>
        <w:tc>
          <w:tcPr>
            <w:tcW w:type="dxa" w:w="6760"/>
            <w:tcMar>
              <w:top w:type="dxa" w:w="60"/>
              <w:left w:type="dxa" w:w="100"/>
              <w:bottom w:type="dxa" w:w="60"/>
              <w:right w:type="dxa" w:w="100"/>
            </w:tcMar>
          </w:tcPr>
          <w:p>
            <w:pPr>
              <w:spacing w:after="20" w:line="250"/>
              <w:jc w:val="left"/>
            </w:pPr>
            <w:r>
              <w:rPr>
                <w:b w:val="false"/>
                <w:bCs w:val="false"/>
                <w:color w:val="222222"/>
                <w:sz w:val="19"/>
                <w:szCs w:val="19"/>
              </w:rPr>
              <w:t xml:space="preserve">AI-röstagenter som tar inkommande och gör utgående samtal, bokar möten i realtid mot kalender (respekterar buffertar/konflikter). På GPT-5 Mini: under 600 ms svarslatens.</w:t>
            </w:r>
          </w:p>
        </w:tc>
      </w:tr>
      <w:tr>
        <w:tc>
          <w:tcPr>
            <w:tcW w:type="dxa" w:w="26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Kalender &amp; bokning</w:t>
            </w:r>
          </w:p>
        </w:tc>
        <w:tc>
          <w:tcPr>
            <w:tcW w:type="dxa" w:w="6760"/>
            <w:tcMar>
              <w:top w:type="dxa" w:w="60"/>
              <w:left w:type="dxa" w:w="100"/>
              <w:bottom w:type="dxa" w:w="60"/>
              <w:right w:type="dxa" w:w="100"/>
            </w:tcMar>
          </w:tcPr>
          <w:p>
            <w:pPr>
              <w:spacing w:after="20" w:line="250"/>
              <w:jc w:val="left"/>
            </w:pPr>
            <w:r>
              <w:rPr>
                <w:b w:val="false"/>
                <w:bCs w:val="false"/>
                <w:color w:val="222222"/>
                <w:sz w:val="19"/>
                <w:szCs w:val="19"/>
              </w:rPr>
              <w:t xml:space="preserve">Bokningssidor, teamkalendrar, tillgänglighet, buffertar, minsta varsel och konflikthantering — knutet till både AI och workflows.</w:t>
            </w:r>
          </w:p>
        </w:tc>
      </w:tr>
      <w:tr>
        <w:tc>
          <w:tcPr>
            <w:tcW w:type="dxa" w:w="26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Recensionshantering</w:t>
            </w:r>
          </w:p>
        </w:tc>
        <w:tc>
          <w:tcPr>
            <w:tcW w:type="dxa" w:w="6760"/>
            <w:tcMar>
              <w:top w:type="dxa" w:w="60"/>
              <w:left w:type="dxa" w:w="100"/>
              <w:bottom w:type="dxa" w:w="60"/>
              <w:right w:type="dxa" w:w="100"/>
            </w:tcMar>
          </w:tcPr>
          <w:p>
            <w:pPr>
              <w:spacing w:after="20" w:line="250"/>
              <w:jc w:val="left"/>
            </w:pPr>
            <w:r>
              <w:rPr>
                <w:b w:val="false"/>
                <w:bCs w:val="false"/>
                <w:color w:val="222222"/>
                <w:sz w:val="19"/>
                <w:szCs w:val="19"/>
              </w:rPr>
              <w:t xml:space="preserve">Automatiska recensionsförfrågningar (Google/Facebook) efter jobb/köp, med dashboard för att bevaka och svara. En av de högsta ROI-funktionerna för lokala företag.</w:t>
            </w:r>
          </w:p>
        </w:tc>
      </w:tr>
      <w:tr>
        <w:tc>
          <w:tcPr>
            <w:tcW w:type="dxa" w:w="26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Betalningar &amp; fakturering</w:t>
            </w:r>
          </w:p>
        </w:tc>
        <w:tc>
          <w:tcPr>
            <w:tcW w:type="dxa" w:w="6760"/>
            <w:tcMar>
              <w:top w:type="dxa" w:w="60"/>
              <w:left w:type="dxa" w:w="100"/>
              <w:bottom w:type="dxa" w:w="60"/>
              <w:right w:type="dxa" w:w="100"/>
            </w:tcMar>
          </w:tcPr>
          <w:p>
            <w:pPr>
              <w:spacing w:after="20" w:line="250"/>
              <w:jc w:val="left"/>
            </w:pPr>
            <w:r>
              <w:rPr>
                <w:b w:val="false"/>
                <w:bCs w:val="false"/>
                <w:color w:val="222222"/>
                <w:sz w:val="19"/>
                <w:szCs w:val="19"/>
              </w:rPr>
              <w:t xml:space="preserve">Offerter, fakturor, engångsbetalningar och återkommande abonnemang inifrån plattformen (via Stripe m.fl.).</w:t>
            </w:r>
          </w:p>
        </w:tc>
      </w:tr>
      <w:tr>
        <w:tc>
          <w:tcPr>
            <w:tcW w:type="dxa" w:w="26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Kurser &amp; medlemskap</w:t>
            </w:r>
          </w:p>
        </w:tc>
        <w:tc>
          <w:tcPr>
            <w:tcW w:type="dxa" w:w="6760"/>
            <w:tcMar>
              <w:top w:type="dxa" w:w="60"/>
              <w:left w:type="dxa" w:w="100"/>
              <w:bottom w:type="dxa" w:w="60"/>
              <w:right w:type="dxa" w:w="100"/>
            </w:tcMar>
          </w:tcPr>
          <w:p>
            <w:pPr>
              <w:spacing w:after="20" w:line="250"/>
              <w:jc w:val="left"/>
            </w:pPr>
            <w:r>
              <w:rPr>
                <w:b w:val="false"/>
                <w:bCs w:val="false"/>
                <w:color w:val="222222"/>
                <w:sz w:val="19"/>
                <w:szCs w:val="19"/>
              </w:rPr>
              <w:t xml:space="preserve">Native kurser, betalda medlemskap och community-ytor — tillräckligt för att ersätta t.ex. Kajabi för de flesta.</w:t>
            </w:r>
          </w:p>
        </w:tc>
      </w:tr>
      <w:tr>
        <w:tc>
          <w:tcPr>
            <w:tcW w:type="dxa" w:w="26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SaaS-läge (white-label)</w:t>
            </w:r>
          </w:p>
        </w:tc>
        <w:tc>
          <w:tcPr>
            <w:tcW w:type="dxa" w:w="6760"/>
            <w:tcMar>
              <w:top w:type="dxa" w:w="60"/>
              <w:left w:type="dxa" w:w="100"/>
              <w:bottom w:type="dxa" w:w="60"/>
              <w:right w:type="dxa" w:w="100"/>
            </w:tcMar>
          </w:tcPr>
          <w:p>
            <w:pPr>
              <w:spacing w:after="20" w:line="250"/>
              <w:jc w:val="left"/>
            </w:pPr>
            <w:r>
              <w:rPr>
                <w:b w:val="false"/>
                <w:bCs w:val="false"/>
                <w:color w:val="222222"/>
                <w:sz w:val="19"/>
                <w:szCs w:val="19"/>
              </w:rPr>
              <w:t xml:space="preserve">Ompaketera hela plattformen under eget varumärke, sälj abonnemang direkt, auto-skapa kundkonton, deploya snapshots och lägg på påslag på förbrukning (rebilling).</w:t>
            </w:r>
          </w:p>
        </w:tc>
      </w:tr>
    </w:tbl>
    <w:p>
      <w:pPr>
        <w:pStyle w:val="Heading2"/>
        <w:spacing w:after="100" w:before="240"/>
      </w:pPr>
      <w:r>
        <w:rPr>
          <w:b/>
          <w:bCs/>
          <w:color w:val="1E4E8C"/>
          <w:sz w:val="25"/>
          <w:szCs w:val="25"/>
        </w:rPr>
        <w:t xml:space="preserve">2.2 Hur automationsmotorn faktiskt fungerar</w:t>
      </w:r>
    </w:p>
    <w:p>
      <w:pPr>
        <w:spacing w:after="120" w:line="276"/>
      </w:pPr>
      <w:r>
        <w:rPr>
          <w:b w:val="false"/>
          <w:bCs w:val="false"/>
          <w:i w:val="false"/>
          <w:iCs w:val="false"/>
          <w:color w:val="222222"/>
          <w:sz w:val="21"/>
          <w:szCs w:val="21"/>
        </w:rPr>
        <w:t xml:space="preserve">Detta är mönstret SCC bör efterlikna på ytan men överträffa i motorn. Byggaren flödar vänster→höger som "digitala Lego-block":</w:t>
      </w:r>
    </w:p>
    <w:p>
      <w:pPr>
        <w:pStyle w:val="ListParagraph"/>
        <w:numPr>
          <w:ilvl w:val="0"/>
          <w:numId w:val="3"/>
        </w:numPr>
        <w:spacing w:after="60" w:line="268"/>
      </w:pPr>
      <w:r>
        <w:rPr>
          <w:b/>
          <w:bCs/>
          <w:i w:val="false"/>
          <w:iCs w:val="false"/>
          <w:color w:val="222222"/>
          <w:sz w:val="21"/>
          <w:szCs w:val="21"/>
        </w:rPr>
        <w:t xml:space="preserve">Trigger </w:t>
      </w:r>
      <w:r>
        <w:rPr>
          <w:b w:val="false"/>
          <w:bCs w:val="false"/>
          <w:i w:val="false"/>
          <w:iCs w:val="false"/>
          <w:color w:val="222222"/>
          <w:sz w:val="21"/>
          <w:szCs w:val="21"/>
        </w:rPr>
        <w:t xml:space="preserve">— startar flödet: formulär skickat, kontakt skapad, fält ändrat, födelsedag, enkät delvis ifylld, medlemskap som går ut.</w:t>
      </w:r>
    </w:p>
    <w:p>
      <w:pPr>
        <w:pStyle w:val="ListParagraph"/>
        <w:numPr>
          <w:ilvl w:val="0"/>
          <w:numId w:val="3"/>
        </w:numPr>
        <w:spacing w:after="60" w:line="268"/>
      </w:pPr>
      <w:r>
        <w:rPr>
          <w:b/>
          <w:bCs/>
          <w:i w:val="false"/>
          <w:iCs w:val="false"/>
          <w:color w:val="222222"/>
          <w:sz w:val="21"/>
          <w:szCs w:val="21"/>
        </w:rPr>
        <w:t xml:space="preserve">Villkor </w:t>
      </w:r>
      <w:r>
        <w:rPr>
          <w:b w:val="false"/>
          <w:bCs w:val="false"/>
          <w:i w:val="false"/>
          <w:iCs w:val="false"/>
          <w:color w:val="222222"/>
          <w:sz w:val="21"/>
          <w:szCs w:val="21"/>
        </w:rPr>
        <w:t xml:space="preserve">— förgrenar vägen (if/else) baserat på kontaktdata.</w:t>
      </w:r>
    </w:p>
    <w:p>
      <w:pPr>
        <w:pStyle w:val="ListParagraph"/>
        <w:numPr>
          <w:ilvl w:val="0"/>
          <w:numId w:val="3"/>
        </w:numPr>
        <w:spacing w:after="60" w:line="268"/>
      </w:pPr>
      <w:r>
        <w:rPr>
          <w:b/>
          <w:bCs/>
          <w:i w:val="false"/>
          <w:iCs w:val="false"/>
          <w:color w:val="222222"/>
          <w:sz w:val="21"/>
          <w:szCs w:val="21"/>
        </w:rPr>
        <w:t xml:space="preserve">Actions </w:t>
      </w:r>
      <w:r>
        <w:rPr>
          <w:b w:val="false"/>
          <w:bCs w:val="false"/>
          <w:i w:val="false"/>
          <w:iCs w:val="false"/>
          <w:color w:val="222222"/>
          <w:sz w:val="21"/>
          <w:szCs w:val="21"/>
        </w:rPr>
        <w:t xml:space="preserve">— körs sekventiellt: skicka e-post/SMS, voicemail-drop, tilldela användare, uppdatera pipeline, sätt tagg, anropa webhook, begär recension.</w:t>
      </w:r>
    </w:p>
    <w:p>
      <w:pPr>
        <w:spacing w:after="120" w:line="276"/>
      </w:pPr>
      <w:r>
        <w:rPr>
          <w:b/>
          <w:bCs/>
          <w:i w:val="false"/>
          <w:iCs w:val="false"/>
          <w:color w:val="1F7A4D"/>
          <w:sz w:val="21"/>
          <w:szCs w:val="21"/>
        </w:rPr>
        <w:t xml:space="preserve">SCC-vinkeln: </w:t>
      </w:r>
      <w:r>
        <w:rPr>
          <w:b w:val="false"/>
          <w:bCs w:val="false"/>
          <w:i w:val="false"/>
          <w:iCs w:val="false"/>
          <w:color w:val="222222"/>
          <w:sz w:val="21"/>
          <w:szCs w:val="21"/>
        </w:rPr>
        <w:t xml:space="preserve">GHL:s "action" som anropar en webhook är exakt den brygga där SCC redan är starkast. Ett GHL-flöde slutar vid webhook; SCC:s dispatcher kan ta emot samma trigger och köra en riktig AI-agent (research, content, kod) med approve-flöde. Vi kan alltså erbjuda "GHL-liknande flöden vars actions är AI-agenter", inte statiska mallar.</w:t>
      </w:r>
    </w:p>
    <w:p>
      <w:pPr>
        <w:pStyle w:val="Heading2"/>
        <w:spacing w:after="100" w:before="240"/>
      </w:pPr>
      <w:r>
        <w:rPr>
          <w:b/>
          <w:bCs/>
          <w:color w:val="1E4E8C"/>
          <w:sz w:val="25"/>
          <w:szCs w:val="25"/>
        </w:rPr>
        <w:t xml:space="preserve">2.3 SaaS-läget — affärsmodellen i klartext</w:t>
      </w:r>
    </w:p>
    <w:p>
      <w:pPr>
        <w:spacing w:after="120" w:line="276"/>
      </w:pPr>
      <w:r>
        <w:rPr>
          <w:b w:val="false"/>
          <w:bCs w:val="false"/>
          <w:i w:val="false"/>
          <w:iCs w:val="false"/>
          <w:color w:val="222222"/>
          <w:sz w:val="21"/>
          <w:szCs w:val="21"/>
        </w:rPr>
        <w:t xml:space="preserve">SaaS-läget gör GHL till en produkt man kan sälja vidare. Kedjan ser ut så här:</w:t>
      </w:r>
    </w:p>
    <w:p>
      <w:pPr>
        <w:pStyle w:val="ListParagraph"/>
        <w:numPr>
          <w:ilvl w:val="0"/>
          <w:numId w:val="2"/>
        </w:numPr>
        <w:spacing w:after="70" w:line="268"/>
      </w:pPr>
      <w:r>
        <w:rPr>
          <w:color w:val="222222"/>
          <w:sz w:val="21"/>
          <w:szCs w:val="21"/>
        </w:rPr>
        <w:t xml:space="preserve">Kund köper abonnemang via din white-labelade signup-länk.</w:t>
      </w:r>
    </w:p>
    <w:p>
      <w:pPr>
        <w:pStyle w:val="ListParagraph"/>
        <w:numPr>
          <w:ilvl w:val="0"/>
          <w:numId w:val="2"/>
        </w:numPr>
        <w:spacing w:after="70" w:line="268"/>
      </w:pPr>
      <w:r>
        <w:rPr>
          <w:color w:val="222222"/>
          <w:sz w:val="21"/>
          <w:szCs w:val="21"/>
        </w:rPr>
        <w:t xml:space="preserve">GHL skapar automatiskt ett dedikerat sub-account.</w:t>
      </w:r>
    </w:p>
    <w:p>
      <w:pPr>
        <w:pStyle w:val="ListParagraph"/>
        <w:numPr>
          <w:ilvl w:val="0"/>
          <w:numId w:val="2"/>
        </w:numPr>
        <w:spacing w:after="70" w:line="268"/>
      </w:pPr>
      <w:r>
        <w:rPr>
          <w:color w:val="222222"/>
          <w:sz w:val="21"/>
          <w:szCs w:val="21"/>
        </w:rPr>
        <w:t xml:space="preserve">Ett snapshot (färdig mall med funnels, automationer, pipelines) deployas på sekunder.</w:t>
      </w:r>
    </w:p>
    <w:p>
      <w:pPr>
        <w:pStyle w:val="ListParagraph"/>
        <w:numPr>
          <w:ilvl w:val="0"/>
          <w:numId w:val="2"/>
        </w:numPr>
        <w:spacing w:after="70" w:line="268"/>
      </w:pPr>
      <w:r>
        <w:rPr>
          <w:color w:val="222222"/>
          <w:sz w:val="21"/>
          <w:szCs w:val="21"/>
        </w:rPr>
        <w:t xml:space="preserve">Inloggningsuppgifter mailas ut, Stripe-fakturering kopplas på.</w:t>
      </w:r>
    </w:p>
    <w:p>
      <w:pPr>
        <w:pStyle w:val="ListParagraph"/>
        <w:numPr>
          <w:ilvl w:val="0"/>
          <w:numId w:val="2"/>
        </w:numPr>
        <w:spacing w:after="70" w:line="268"/>
      </w:pPr>
      <w:r>
        <w:rPr>
          <w:color w:val="222222"/>
          <w:sz w:val="21"/>
          <w:szCs w:val="21"/>
        </w:rPr>
        <w:t xml:space="preserve">Förbrukning (SMS, e-post, AI) mäts per kund och debiteras deras kort med ditt påslag — kostnad blir vinst.</w:t>
      </w:r>
    </w:p>
    <w:tbl>
      <w:tblPr>
        <w:tblW w:type="dxa" w:w="9360"/>
        <w:tblBorders>
          <w:top w:val="single" w:color="EAF5EE" w:sz="4"/>
          <w:left w:val="single" w:color="1F7A4D" w:sz="24"/>
          <w:bottom w:val="single" w:color="EAF5EE" w:sz="4"/>
          <w:right w:val="single" w:color="EAF5EE" w:sz="4"/>
          <w:insideH w:val="none"/>
          <w:insideV w:val="none"/>
        </w:tblBorders>
      </w:tblPr>
      <w:tblGrid>
        <w:gridCol w:w="9360"/>
      </w:tblGrid>
      <w:tr>
        <w:tc>
          <w:tcPr>
            <w:tcW w:type="dxa" w:w="9360"/>
            <w:shd w:fill="EAF5EE" w:color="auto" w:val="clear"/>
            <w:tcMar>
              <w:top w:type="dxa" w:w="120"/>
              <w:left w:type="dxa" w:w="160"/>
              <w:bottom w:type="dxa" w:w="120"/>
              <w:right w:type="dxa" w:w="160"/>
            </w:tcMar>
          </w:tcPr>
          <w:p>
            <w:pPr>
              <w:spacing w:after="40"/>
            </w:pPr>
            <w:r>
              <w:rPr>
                <w:b/>
                <w:bCs/>
                <w:color w:val="1F7A4D"/>
                <w:sz w:val="21"/>
                <w:szCs w:val="21"/>
              </w:rPr>
              <w:t xml:space="preserve">Ekonomin</w:t>
            </w:r>
          </w:p>
          <w:p>
            <w:pPr>
              <w:spacing w:after="40" w:line="268"/>
            </w:pPr>
            <w:r>
              <w:rPr>
                <w:color w:val="222222"/>
                <w:sz w:val="20"/>
                <w:szCs w:val="20"/>
              </w:rPr>
              <w:t xml:space="preserve">Pro-planen (~497 USD/mån) ger obegränsade sub-accounts för en fast avgift. Kund nr 2 kostar ingenting extra, kund nr 20 likaså. Priset kunden betalar är nästan ren marginal när planen är täckt. Det är denna hävstång Skyland kan bygga själv — utan att lämna 497 USD/mån och sin datamodell till GHL.</w:t>
            </w:r>
          </w:p>
        </w:tc>
      </w:tr>
    </w:tbl>
    <w:p>
      <w:r>
        <w:br w:type="page"/>
      </w:r>
    </w:p>
    <w:p>
      <w:pPr>
        <w:pStyle w:val="Heading1"/>
        <w:spacing w:after="140" w:before="320"/>
      </w:pPr>
      <w:r>
        <w:rPr>
          <w:b/>
          <w:bCs/>
          <w:color w:val="0B1F3A"/>
          <w:sz w:val="30"/>
          <w:szCs w:val="30"/>
        </w:rPr>
        <w:t xml:space="preserve">3. GHL:s styrkor och svagheter</w:t>
      </w:r>
    </w:p>
    <w:p>
      <w:pPr>
        <w:spacing w:after="120" w:line="276"/>
      </w:pPr>
      <w:r>
        <w:rPr>
          <w:b w:val="false"/>
          <w:bCs w:val="false"/>
          <w:i w:val="false"/>
          <w:iCs w:val="false"/>
          <w:color w:val="222222"/>
          <w:sz w:val="21"/>
          <w:szCs w:val="21"/>
        </w:rPr>
        <w:t xml:space="preserve">En ärlig läsning av GHL:s svagheter är själva öppningen för Skyland. Där GHL är svag ska SCC vara stark.</w:t>
      </w:r>
    </w:p>
    <w:tbl>
      <w:tblPr>
        <w:tblW w:type="dxa" w:w="9360"/>
        <w:tblBorders>
          <w:top w:val="single" w:color="C9D6E5" w:sz="4"/>
          <w:left w:val="single" w:color="C9D6E5" w:sz="4"/>
          <w:bottom w:val="single" w:color="C9D6E5" w:sz="4"/>
          <w:right w:val="single" w:color="C9D6E5" w:sz="4"/>
          <w:insideH w:val="single" w:color="DCE6F0" w:sz="4"/>
          <w:insideV w:val="single" w:color="DCE6F0" w:sz="4"/>
        </w:tblBorders>
      </w:tblPr>
      <w:tblGrid>
        <w:gridCol w:w="4680"/>
        <w:gridCol w:w="4680"/>
      </w:tblGrid>
      <w:tr>
        <w:trPr>
          <w:tblHeader/>
        </w:trPr>
        <w:tc>
          <w:tcPr>
            <w:tcW w:type="dxa" w:w="4680"/>
            <w:shd w:fill="0B1F3A" w:color="auto" w:val="clear"/>
            <w:tcMar>
              <w:top w:type="dxa" w:w="60"/>
              <w:left w:type="dxa" w:w="100"/>
              <w:bottom w:type="dxa" w:w="60"/>
              <w:right w:type="dxa" w:w="100"/>
            </w:tcMar>
          </w:tcPr>
          <w:p>
            <w:pPr>
              <w:spacing w:after="20" w:line="250"/>
              <w:jc w:val="left"/>
            </w:pPr>
            <w:r>
              <w:rPr>
                <w:b/>
                <w:bCs/>
                <w:color w:val="FFFFFF"/>
                <w:sz w:val="19"/>
                <w:szCs w:val="19"/>
              </w:rPr>
              <w:t xml:space="preserve">Styrkor</w:t>
            </w:r>
          </w:p>
        </w:tc>
        <w:tc>
          <w:tcPr>
            <w:tcW w:type="dxa" w:w="4680"/>
            <w:shd w:fill="0B1F3A" w:color="auto" w:val="clear"/>
            <w:tcMar>
              <w:top w:type="dxa" w:w="60"/>
              <w:left w:type="dxa" w:w="100"/>
              <w:bottom w:type="dxa" w:w="60"/>
              <w:right w:type="dxa" w:w="100"/>
            </w:tcMar>
          </w:tcPr>
          <w:p>
            <w:pPr>
              <w:spacing w:after="20" w:line="250"/>
              <w:jc w:val="left"/>
            </w:pPr>
            <w:r>
              <w:rPr>
                <w:b/>
                <w:bCs/>
                <w:color w:val="FFFFFF"/>
                <w:sz w:val="19"/>
                <w:szCs w:val="19"/>
              </w:rPr>
              <w:t xml:space="preserve">Svagheter (våra öppningar)</w:t>
            </w:r>
          </w:p>
        </w:tc>
      </w:tr>
      <w:tr>
        <w:tc>
          <w:tcPr>
            <w:tcW w:type="dxa" w:w="4680"/>
            <w:shd w:fill="EAF5EE" w:color="auto" w:val="clear"/>
            <w:tcMar>
              <w:top w:type="dxa" w:w="60"/>
              <w:left w:type="dxa" w:w="100"/>
              <w:bottom w:type="dxa" w:w="60"/>
              <w:right w:type="dxa" w:w="100"/>
            </w:tcMar>
          </w:tcPr>
          <w:p>
            <w:pPr>
              <w:spacing w:after="20" w:line="250"/>
              <w:jc w:val="left"/>
            </w:pPr>
            <w:r>
              <w:rPr>
                <w:b w:val="false"/>
                <w:bCs w:val="false"/>
                <w:color w:val="222222"/>
                <w:sz w:val="19"/>
                <w:szCs w:val="19"/>
              </w:rPr>
              <w:t xml:space="preserve">Bredd: ersätter 5–8 verktyg i ett.</w:t>
            </w:r>
          </w:p>
          <w:p>
            <w:pPr>
              <w:spacing w:after="20" w:line="250"/>
              <w:jc w:val="left"/>
            </w:pPr>
            <w:r>
              <w:rPr>
                <w:b w:val="false"/>
                <w:bCs w:val="false"/>
                <w:color w:val="222222"/>
                <w:sz w:val="19"/>
                <w:szCs w:val="19"/>
              </w:rPr>
              <w:t xml:space="preserve">Obegränsade kontakter/användare — ingen per-seat.</w:t>
            </w:r>
          </w:p>
          <w:p>
            <w:pPr>
              <w:spacing w:after="20" w:line="250"/>
              <w:jc w:val="left"/>
            </w:pPr>
            <w:r>
              <w:rPr>
                <w:b w:val="false"/>
                <w:bCs w:val="false"/>
                <w:color w:val="222222"/>
                <w:sz w:val="19"/>
                <w:szCs w:val="19"/>
              </w:rPr>
              <w:t xml:space="preserve">White-label + rebilling = färdig SaaS-affär.</w:t>
            </w:r>
          </w:p>
          <w:p>
            <w:pPr>
              <w:spacing w:after="20" w:line="250"/>
              <w:jc w:val="left"/>
            </w:pPr>
            <w:r>
              <w:rPr>
                <w:b w:val="false"/>
                <w:bCs w:val="false"/>
                <w:color w:val="222222"/>
                <w:sz w:val="19"/>
                <w:szCs w:val="19"/>
              </w:rPr>
              <w:t xml:space="preserve">Snapshots gör kund-onboarding till minuter.</w:t>
            </w:r>
          </w:p>
          <w:p>
            <w:pPr>
              <w:spacing w:after="20" w:line="250"/>
              <w:jc w:val="left"/>
            </w:pPr>
            <w:r>
              <w:rPr>
                <w:b w:val="false"/>
                <w:bCs w:val="false"/>
                <w:color w:val="222222"/>
                <w:sz w:val="19"/>
                <w:szCs w:val="19"/>
              </w:rPr>
              <w:t xml:space="preserve">Recensionsautomation med hög lokal ROI.</w:t>
            </w:r>
          </w:p>
        </w:tc>
        <w:tc>
          <w:tcPr>
            <w:tcW w:type="dxa" w:w="4680"/>
            <w:shd w:fill="FBEEEC" w:color="auto" w:val="clear"/>
            <w:tcMar>
              <w:top w:type="dxa" w:w="60"/>
              <w:left w:type="dxa" w:w="100"/>
              <w:bottom w:type="dxa" w:w="60"/>
              <w:right w:type="dxa" w:w="100"/>
            </w:tcMar>
          </w:tcPr>
          <w:p>
            <w:pPr>
              <w:spacing w:after="20" w:line="250"/>
              <w:jc w:val="left"/>
            </w:pPr>
            <w:r>
              <w:rPr>
                <w:b w:val="false"/>
                <w:bCs w:val="false"/>
                <w:color w:val="222222"/>
                <w:sz w:val="19"/>
                <w:szCs w:val="19"/>
              </w:rPr>
              <w:t xml:space="preserve">E-postleverans: återkommande klagomål (delad IP, dålig out-of-the-box-setup).</w:t>
            </w:r>
          </w:p>
          <w:p>
            <w:pPr>
              <w:spacing w:after="20" w:line="250"/>
              <w:jc w:val="left"/>
            </w:pPr>
            <w:r>
              <w:rPr>
                <w:b w:val="false"/>
                <w:bCs w:val="false"/>
                <w:color w:val="222222"/>
                <w:sz w:val="19"/>
                <w:szCs w:val="19"/>
              </w:rPr>
              <w:t xml:space="preserve">Prestanda: sidladdning 4–5 s, ibland 10–60 s.</w:t>
            </w:r>
          </w:p>
          <w:p>
            <w:pPr>
              <w:spacing w:after="20" w:line="250"/>
              <w:jc w:val="left"/>
            </w:pPr>
            <w:r>
              <w:rPr>
                <w:b w:val="false"/>
                <w:bCs w:val="false"/>
                <w:color w:val="222222"/>
                <w:sz w:val="19"/>
                <w:szCs w:val="19"/>
              </w:rPr>
              <w:t xml:space="preserve">Brant inlärningskurva — kräver ofta expert.</w:t>
            </w:r>
          </w:p>
          <w:p>
            <w:pPr>
              <w:spacing w:after="20" w:line="250"/>
              <w:jc w:val="left"/>
            </w:pPr>
            <w:r>
              <w:rPr>
                <w:b w:val="false"/>
                <w:bCs w:val="false"/>
                <w:color w:val="222222"/>
                <w:sz w:val="19"/>
                <w:szCs w:val="19"/>
              </w:rPr>
              <w:t xml:space="preserve">Mobilapp instabil, kraschar under samtal.</w:t>
            </w:r>
          </w:p>
          <w:p>
            <w:pPr>
              <w:spacing w:after="20" w:line="250"/>
              <w:jc w:val="left"/>
            </w:pPr>
            <w:r>
              <w:rPr>
                <w:b w:val="false"/>
                <w:bCs w:val="false"/>
                <w:color w:val="222222"/>
                <w:sz w:val="19"/>
                <w:szCs w:val="19"/>
              </w:rPr>
              <w:t xml:space="preserve">Support långsam; faktureringsklagomål (BBB).</w:t>
            </w:r>
          </w:p>
          <w:p>
            <w:pPr>
              <w:spacing w:after="20" w:line="250"/>
              <w:jc w:val="left"/>
            </w:pPr>
            <w:r>
              <w:rPr>
                <w:b w:val="false"/>
                <w:bCs w:val="false"/>
                <w:color w:val="222222"/>
                <w:sz w:val="19"/>
                <w:szCs w:val="19"/>
              </w:rPr>
              <w:t xml:space="preserve">Automation är regelbaserad, INTE agent-AI.</w:t>
            </w:r>
          </w:p>
          <w:p>
            <w:pPr>
              <w:spacing w:after="20" w:line="250"/>
              <w:jc w:val="left"/>
            </w:pPr>
            <w:r>
              <w:rPr>
                <w:b w:val="false"/>
                <w:bCs w:val="false"/>
                <w:color w:val="222222"/>
                <w:sz w:val="19"/>
                <w:szCs w:val="19"/>
              </w:rPr>
              <w:t xml:space="preserve">Rapportering/fakturering saknar djup.</w:t>
            </w:r>
          </w:p>
        </w:tc>
      </w:tr>
    </w:tbl>
    <w:p>
      <w:pPr>
        <w:spacing w:after="120" w:line="276"/>
      </w:pPr>
      <w:r>
        <w:rPr>
          <w:b/>
          <w:bCs/>
          <w:i w:val="false"/>
          <w:iCs w:val="false"/>
          <w:color w:val="0B1F3A"/>
          <w:sz w:val="21"/>
          <w:szCs w:val="21"/>
        </w:rPr>
        <w:t xml:space="preserve">Slutsats: </w:t>
      </w:r>
      <w:r>
        <w:rPr>
          <w:b w:val="false"/>
          <w:bCs w:val="false"/>
          <w:i w:val="false"/>
          <w:iCs w:val="false"/>
          <w:color w:val="222222"/>
          <w:sz w:val="21"/>
          <w:szCs w:val="21"/>
        </w:rPr>
        <w:t xml:space="preserve">GHL vinner på bredd och färdig affärsmodell. Den förlorar på prestanda, leveransbarhet, komplexitet och — avgörande — på att dess "AI" och "automation" är grunt regelbaserad. Skylands SCC har redan en djupare AI-kärna. Strategin blir därför att matcha GHL:s exekveringsbredd precis tillräckligt, och slå dem på det agentdrivna.</w:t>
      </w:r>
    </w:p>
    <w:p>
      <w:r>
        <w:br w:type="page"/>
      </w:r>
    </w:p>
    <w:p>
      <w:pPr>
        <w:pStyle w:val="Heading1"/>
        <w:spacing w:after="140" w:before="320"/>
      </w:pPr>
      <w:r>
        <w:rPr>
          <w:b/>
          <w:bCs/>
          <w:color w:val="0B1F3A"/>
          <w:sz w:val="30"/>
          <w:szCs w:val="30"/>
        </w:rPr>
        <w:t xml:space="preserve">4. Var SCC står idag</w:t>
      </w:r>
    </w:p>
    <w:p>
      <w:pPr>
        <w:spacing w:after="120" w:line="276"/>
      </w:pPr>
      <w:r>
        <w:rPr>
          <w:b w:val="false"/>
          <w:bCs w:val="false"/>
          <w:i w:val="false"/>
          <w:iCs w:val="false"/>
          <w:color w:val="222222"/>
          <w:sz w:val="21"/>
          <w:szCs w:val="21"/>
        </w:rPr>
        <w:t xml:space="preserve">Baserat på genomgång av kodbasen (backend/src/routes med ~36 modulfiler, LLM-adapterlager, task-system, Supabase-schema och React/Three.js-frontend) är SCC betydligt mer utbyggt än en MVP. Det är en AI-operatörs- och orkestreringsplattform, inte ett marknadsföringsverktyg.</w:t>
      </w:r>
    </w:p>
    <w:p>
      <w:pPr>
        <w:pStyle w:val="Heading3"/>
        <w:spacing w:after="80" w:before="180"/>
      </w:pPr>
      <w:r>
        <w:rPr>
          <w:b/>
          <w:bCs/>
          <w:color w:val="2E7DD1"/>
          <w:sz w:val="22"/>
          <w:szCs w:val="22"/>
        </w:rPr>
        <w:t xml:space="preserve">Det SCC redan har (och som GHL är svagt på)</w:t>
      </w:r>
    </w:p>
    <w:p>
      <w:pPr>
        <w:pStyle w:val="ListParagraph"/>
        <w:numPr>
          <w:ilvl w:val="0"/>
          <w:numId w:val="3"/>
        </w:numPr>
        <w:spacing w:after="60" w:line="268"/>
      </w:pPr>
      <w:r>
        <w:rPr>
          <w:color w:val="222222"/>
          <w:sz w:val="21"/>
          <w:szCs w:val="21"/>
        </w:rPr>
        <w:t xml:space="preserve">Master Brain AI-chat med intent-klassificering och tool calling (get_customer_status, list_activities, create_task_proposal, list_open_tasks, get_customer_errors).</w:t>
      </w:r>
    </w:p>
    <w:p>
      <w:pPr>
        <w:pStyle w:val="ListParagraph"/>
        <w:numPr>
          <w:ilvl w:val="0"/>
          <w:numId w:val="3"/>
        </w:numPr>
        <w:spacing w:after="60" w:line="268"/>
      </w:pPr>
      <w:r>
        <w:rPr>
          <w:color w:val="222222"/>
          <w:sz w:val="21"/>
          <w:szCs w:val="21"/>
        </w:rPr>
        <w:t xml:space="preserve">LLM-adapterlager med OpenAI/DeepSeek/OpenRouter — 500+ modeller via en nyckel, function calling överallt.</w:t>
      </w:r>
    </w:p>
    <w:p>
      <w:pPr>
        <w:pStyle w:val="ListParagraph"/>
        <w:numPr>
          <w:ilvl w:val="0"/>
          <w:numId w:val="3"/>
        </w:numPr>
        <w:spacing w:after="60" w:line="268"/>
      </w:pPr>
      <w:r>
        <w:rPr>
          <w:color w:val="222222"/>
          <w:sz w:val="21"/>
          <w:szCs w:val="21"/>
        </w:rPr>
        <w:t xml:space="preserve">Task-system med hierarki (parent_task_id) och SUGGEST→review→approve→dispatch-flöde samt autonominivåer (OBSERVE/SUGGEST/ACT/SILENT).</w:t>
      </w:r>
    </w:p>
    <w:p>
      <w:pPr>
        <w:pStyle w:val="ListParagraph"/>
        <w:numPr>
          <w:ilvl w:val="0"/>
          <w:numId w:val="3"/>
        </w:numPr>
        <w:spacing w:after="60" w:line="268"/>
      </w:pPr>
      <w:r>
        <w:rPr>
          <w:color w:val="222222"/>
          <w:sz w:val="21"/>
          <w:szCs w:val="21"/>
        </w:rPr>
        <w:t xml:space="preserve">Dispatcher som kör uppgifter via local:echo, n8n:* (webhooks) och claw:* (OpenClaw sub-agenter).</w:t>
      </w:r>
    </w:p>
    <w:p>
      <w:pPr>
        <w:pStyle w:val="ListParagraph"/>
        <w:numPr>
          <w:ilvl w:val="0"/>
          <w:numId w:val="3"/>
        </w:numPr>
        <w:spacing w:after="60" w:line="268"/>
      </w:pPr>
      <w:r>
        <w:rPr>
          <w:color w:val="222222"/>
          <w:sz w:val="21"/>
          <w:szCs w:val="21"/>
        </w:rPr>
        <w:t xml:space="preserve">Lead-intake (POST /api/v1/leads/intake) från hemsida → n8n → SCC, med voice- och formulär-path.</w:t>
      </w:r>
    </w:p>
    <w:p>
      <w:pPr>
        <w:pStyle w:val="ListParagraph"/>
        <w:numPr>
          <w:ilvl w:val="0"/>
          <w:numId w:val="3"/>
        </w:numPr>
        <w:spacing w:after="60" w:line="268"/>
      </w:pPr>
      <w:r>
        <w:rPr>
          <w:color w:val="222222"/>
          <w:sz w:val="21"/>
          <w:szCs w:val="21"/>
        </w:rPr>
        <w:t xml:space="preserve">Röst-AI redan integrerad via ElevenLabs (voice.ts) som bryggar till gateway/agenter.</w:t>
      </w:r>
    </w:p>
    <w:p>
      <w:pPr>
        <w:pStyle w:val="ListParagraph"/>
        <w:numPr>
          <w:ilvl w:val="0"/>
          <w:numId w:val="3"/>
        </w:numPr>
        <w:spacing w:after="60" w:line="268"/>
      </w:pPr>
      <w:r>
        <w:rPr>
          <w:color w:val="222222"/>
          <w:sz w:val="21"/>
          <w:szCs w:val="21"/>
        </w:rPr>
        <w:t xml:space="preserve">Website-analytics, kostnadsspårning (costs), aktivitetslogg, run-historik, event stream (WebSocket), agent-kö, memory-management och en 3D-kommandovy.</w:t>
      </w:r>
    </w:p>
    <w:p>
      <w:pPr>
        <w:pStyle w:val="Heading3"/>
        <w:spacing w:after="80" w:before="180"/>
      </w:pPr>
      <w:r>
        <w:rPr>
          <w:b/>
          <w:bCs/>
          <w:color w:val="2E7DD1"/>
          <w:sz w:val="22"/>
          <w:szCs w:val="22"/>
        </w:rPr>
        <w:t xml:space="preserve">Det SCC saknar (och som GHL äger)</w:t>
      </w:r>
    </w:p>
    <w:p>
      <w:pPr>
        <w:pStyle w:val="ListParagraph"/>
        <w:numPr>
          <w:ilvl w:val="0"/>
          <w:numId w:val="3"/>
        </w:numPr>
        <w:spacing w:after="60" w:line="268"/>
      </w:pPr>
      <w:r>
        <w:rPr>
          <w:b/>
          <w:bCs/>
          <w:i w:val="false"/>
          <w:iCs w:val="false"/>
          <w:color w:val="222222"/>
          <w:sz w:val="21"/>
          <w:szCs w:val="21"/>
        </w:rPr>
        <w:t xml:space="preserve">Ingen riktig contact/lead-entitet. </w:t>
      </w:r>
      <w:r>
        <w:rPr>
          <w:b w:val="false"/>
          <w:bCs w:val="false"/>
          <w:i w:val="false"/>
          <w:iCs w:val="false"/>
          <w:color w:val="222222"/>
          <w:sz w:val="21"/>
          <w:szCs w:val="21"/>
        </w:rPr>
        <w:t xml:space="preserve">Leads sparas som activities. Det finns customers (JSONB-config) men ingen normaliserad kontakt med pipeline-status, taggar och custom fields.</w:t>
      </w:r>
    </w:p>
    <w:p>
      <w:pPr>
        <w:pStyle w:val="ListParagraph"/>
        <w:numPr>
          <w:ilvl w:val="0"/>
          <w:numId w:val="3"/>
        </w:numPr>
        <w:spacing w:after="60" w:line="268"/>
      </w:pPr>
      <w:r>
        <w:rPr>
          <w:b/>
          <w:bCs/>
          <w:i w:val="false"/>
          <w:iCs w:val="false"/>
          <w:color w:val="222222"/>
          <w:sz w:val="21"/>
          <w:szCs w:val="21"/>
        </w:rPr>
        <w:t xml:space="preserve">Ingen pipeline/opportunity-modell. </w:t>
      </w:r>
      <w:r>
        <w:rPr>
          <w:b w:val="false"/>
          <w:bCs w:val="false"/>
          <w:i w:val="false"/>
          <w:iCs w:val="false"/>
          <w:color w:val="222222"/>
          <w:sz w:val="21"/>
          <w:szCs w:val="21"/>
        </w:rPr>
        <w:t xml:space="preserve">Ingen försäljningstratt, ingen deal-status, inget stage-flöde.</w:t>
      </w:r>
    </w:p>
    <w:p>
      <w:pPr>
        <w:pStyle w:val="ListParagraph"/>
        <w:numPr>
          <w:ilvl w:val="0"/>
          <w:numId w:val="3"/>
        </w:numPr>
        <w:spacing w:after="60" w:line="268"/>
      </w:pPr>
      <w:r>
        <w:rPr>
          <w:b/>
          <w:bCs/>
          <w:i w:val="false"/>
          <w:iCs w:val="false"/>
          <w:color w:val="222222"/>
          <w:sz w:val="21"/>
          <w:szCs w:val="21"/>
        </w:rPr>
        <w:t xml:space="preserve">Ingen unified conversation-inbox. </w:t>
      </w:r>
      <w:r>
        <w:rPr>
          <w:b w:val="false"/>
          <w:bCs w:val="false"/>
          <w:i w:val="false"/>
          <w:iCs w:val="false"/>
          <w:color w:val="222222"/>
          <w:sz w:val="21"/>
          <w:szCs w:val="21"/>
        </w:rPr>
        <w:t xml:space="preserve">Messages finns i schemat men ingen tråd-per-kontakt-vy över kanaler.</w:t>
      </w:r>
    </w:p>
    <w:p>
      <w:pPr>
        <w:pStyle w:val="ListParagraph"/>
        <w:numPr>
          <w:ilvl w:val="0"/>
          <w:numId w:val="3"/>
        </w:numPr>
        <w:spacing w:after="60" w:line="268"/>
      </w:pPr>
      <w:r>
        <w:rPr>
          <w:b/>
          <w:bCs/>
          <w:i w:val="false"/>
          <w:iCs w:val="false"/>
          <w:color w:val="222222"/>
          <w:sz w:val="21"/>
          <w:szCs w:val="21"/>
        </w:rPr>
        <w:t xml:space="preserve">Ingen utgående meddelandekanal. </w:t>
      </w:r>
      <w:r>
        <w:rPr>
          <w:b w:val="false"/>
          <w:bCs w:val="false"/>
          <w:i w:val="false"/>
          <w:iCs w:val="false"/>
          <w:color w:val="222222"/>
          <w:sz w:val="21"/>
          <w:szCs w:val="21"/>
        </w:rPr>
        <w:t xml:space="preserve">SCC tar emot leads men skickar inte e-post/SMS tillbaka.</w:t>
      </w:r>
    </w:p>
    <w:p>
      <w:pPr>
        <w:pStyle w:val="ListParagraph"/>
        <w:numPr>
          <w:ilvl w:val="0"/>
          <w:numId w:val="3"/>
        </w:numPr>
        <w:spacing w:after="60" w:line="268"/>
      </w:pPr>
      <w:r>
        <w:rPr>
          <w:b/>
          <w:bCs/>
          <w:i w:val="false"/>
          <w:iCs w:val="false"/>
          <w:color w:val="222222"/>
          <w:sz w:val="21"/>
          <w:szCs w:val="21"/>
        </w:rPr>
        <w:t xml:space="preserve">Ingen kalender/bokning. </w:t>
      </w:r>
      <w:r>
        <w:rPr>
          <w:b w:val="false"/>
          <w:bCs w:val="false"/>
          <w:i w:val="false"/>
          <w:iCs w:val="false"/>
          <w:color w:val="222222"/>
          <w:sz w:val="21"/>
          <w:szCs w:val="21"/>
        </w:rPr>
        <w:t xml:space="preserve">Röst-AI kan inte boka möten (GHL:s starkaste loop saknas).</w:t>
      </w:r>
    </w:p>
    <w:p>
      <w:pPr>
        <w:pStyle w:val="ListParagraph"/>
        <w:numPr>
          <w:ilvl w:val="0"/>
          <w:numId w:val="3"/>
        </w:numPr>
        <w:spacing w:after="60" w:line="268"/>
      </w:pPr>
      <w:r>
        <w:rPr>
          <w:b/>
          <w:bCs/>
          <w:i w:val="false"/>
          <w:iCs w:val="false"/>
          <w:color w:val="222222"/>
          <w:sz w:val="21"/>
          <w:szCs w:val="21"/>
        </w:rPr>
        <w:t xml:space="preserve">Ingen kund-vänd byggare. </w:t>
      </w:r>
      <w:r>
        <w:rPr>
          <w:b w:val="false"/>
          <w:bCs w:val="false"/>
          <w:i w:val="false"/>
          <w:iCs w:val="false"/>
          <w:color w:val="222222"/>
          <w:sz w:val="21"/>
          <w:szCs w:val="21"/>
        </w:rPr>
        <w:t xml:space="preserve">Automationsmotorn finns men är inte exponerad som en visuell workflow-produkt; ingen funnel/formulärbyggare.</w:t>
      </w:r>
    </w:p>
    <w:p>
      <w:pPr>
        <w:pStyle w:val="ListParagraph"/>
        <w:numPr>
          <w:ilvl w:val="0"/>
          <w:numId w:val="3"/>
        </w:numPr>
        <w:spacing w:after="60" w:line="268"/>
      </w:pPr>
      <w:r>
        <w:rPr>
          <w:b/>
          <w:bCs/>
          <w:i w:val="false"/>
          <w:iCs w:val="false"/>
          <w:color w:val="222222"/>
          <w:sz w:val="21"/>
          <w:szCs w:val="21"/>
        </w:rPr>
        <w:t xml:space="preserve">Ingen white-label/rebilling. </w:t>
      </w:r>
      <w:r>
        <w:rPr>
          <w:b w:val="false"/>
          <w:bCs w:val="false"/>
          <w:i w:val="false"/>
          <w:iCs w:val="false"/>
          <w:color w:val="222222"/>
          <w:sz w:val="21"/>
          <w:szCs w:val="21"/>
        </w:rPr>
        <w:t xml:space="preserve">Kundinstanser är klickbara i 3D men det finns ingen mall-deploy, ingen fakturering, ingen förbrukningsdebitering.</w:t>
      </w:r>
    </w:p>
    <w:p>
      <w:r>
        <w:br w:type="page"/>
      </w:r>
    </w:p>
    <w:p>
      <w:pPr>
        <w:pStyle w:val="Heading1"/>
        <w:spacing w:after="140" w:before="320"/>
      </w:pPr>
      <w:r>
        <w:rPr>
          <w:b/>
          <w:bCs/>
          <w:color w:val="0B1F3A"/>
          <w:sz w:val="30"/>
          <w:szCs w:val="30"/>
        </w:rPr>
        <w:t xml:space="preserve">5. Gap-analys: SCC vs GHL, funktion för funktion</w:t>
      </w:r>
    </w:p>
    <w:p>
      <w:pPr>
        <w:spacing w:after="120" w:line="276"/>
      </w:pPr>
      <w:r>
        <w:rPr>
          <w:b w:val="false"/>
          <w:bCs w:val="false"/>
          <w:i w:val="false"/>
          <w:iCs w:val="false"/>
          <w:color w:val="222222"/>
          <w:sz w:val="21"/>
          <w:szCs w:val="21"/>
        </w:rPr>
        <w:t xml:space="preserve">Status: ✔ Finns · ◐ Delvis · ✘ Saknas. Kolumnen "Prioritet" väger kundnytta mot bygginsats för att ersätta GHL.</w:t>
      </w:r>
    </w:p>
    <w:tbl>
      <w:tblPr>
        <w:tblW w:type="dxa" w:w="9360"/>
        <w:tblBorders>
          <w:top w:val="single" w:color="C9D6E5" w:sz="4"/>
          <w:left w:val="single" w:color="C9D6E5" w:sz="4"/>
          <w:bottom w:val="single" w:color="C9D6E5" w:sz="4"/>
          <w:right w:val="single" w:color="C9D6E5" w:sz="4"/>
          <w:insideH w:val="single" w:color="DCE6F0" w:sz="4"/>
          <w:insideV w:val="single" w:color="DCE6F0" w:sz="4"/>
        </w:tblBorders>
      </w:tblPr>
      <w:tblGrid>
        <w:gridCol w:w="2500"/>
        <w:gridCol w:w="900"/>
        <w:gridCol w:w="4160"/>
        <w:gridCol w:w="1800"/>
      </w:tblGrid>
      <w:tr>
        <w:trPr>
          <w:tblHeader/>
        </w:trPr>
        <w:tc>
          <w:tcPr>
            <w:tcW w:type="dxa" w:w="2500"/>
            <w:shd w:fill="0B1F3A" w:color="auto" w:val="clear"/>
            <w:tcMar>
              <w:top w:type="dxa" w:w="60"/>
              <w:left w:type="dxa" w:w="100"/>
              <w:bottom w:type="dxa" w:w="60"/>
              <w:right w:type="dxa" w:w="100"/>
            </w:tcMar>
          </w:tcPr>
          <w:p>
            <w:pPr>
              <w:spacing w:after="20" w:line="250"/>
              <w:jc w:val="left"/>
            </w:pPr>
            <w:r>
              <w:rPr>
                <w:b/>
                <w:bCs/>
                <w:color w:val="FFFFFF"/>
                <w:sz w:val="19"/>
                <w:szCs w:val="19"/>
              </w:rPr>
              <w:t xml:space="preserve">Funktion</w:t>
            </w:r>
          </w:p>
        </w:tc>
        <w:tc>
          <w:tcPr>
            <w:tcW w:type="dxa" w:w="900"/>
            <w:shd w:fill="0B1F3A" w:color="auto" w:val="clear"/>
            <w:tcMar>
              <w:top w:type="dxa" w:w="60"/>
              <w:left w:type="dxa" w:w="100"/>
              <w:bottom w:type="dxa" w:w="60"/>
              <w:right w:type="dxa" w:w="100"/>
            </w:tcMar>
          </w:tcPr>
          <w:p>
            <w:pPr>
              <w:spacing w:after="20" w:line="250"/>
              <w:jc w:val="left"/>
            </w:pPr>
            <w:r>
              <w:rPr>
                <w:b/>
                <w:bCs/>
                <w:color w:val="FFFFFF"/>
                <w:sz w:val="19"/>
                <w:szCs w:val="19"/>
              </w:rPr>
              <w:t xml:space="preserve">SCC</w:t>
            </w:r>
          </w:p>
        </w:tc>
        <w:tc>
          <w:tcPr>
            <w:tcW w:type="dxa" w:w="4160"/>
            <w:shd w:fill="0B1F3A" w:color="auto" w:val="clear"/>
            <w:tcMar>
              <w:top w:type="dxa" w:w="60"/>
              <w:left w:type="dxa" w:w="100"/>
              <w:bottom w:type="dxa" w:w="60"/>
              <w:right w:type="dxa" w:w="100"/>
            </w:tcMar>
          </w:tcPr>
          <w:p>
            <w:pPr>
              <w:spacing w:after="20" w:line="250"/>
              <w:jc w:val="left"/>
            </w:pPr>
            <w:r>
              <w:rPr>
                <w:b/>
                <w:bCs/>
                <w:color w:val="FFFFFF"/>
                <w:sz w:val="19"/>
                <w:szCs w:val="19"/>
              </w:rPr>
              <w:t xml:space="preserve">Kommentar</w:t>
            </w:r>
          </w:p>
        </w:tc>
        <w:tc>
          <w:tcPr>
            <w:tcW w:type="dxa" w:w="1800"/>
            <w:shd w:fill="0B1F3A" w:color="auto" w:val="clear"/>
            <w:tcMar>
              <w:top w:type="dxa" w:w="60"/>
              <w:left w:type="dxa" w:w="100"/>
              <w:bottom w:type="dxa" w:w="60"/>
              <w:right w:type="dxa" w:w="100"/>
            </w:tcMar>
          </w:tcPr>
          <w:p>
            <w:pPr>
              <w:spacing w:after="20" w:line="250"/>
              <w:jc w:val="left"/>
            </w:pPr>
            <w:r>
              <w:rPr>
                <w:b/>
                <w:bCs/>
                <w:color w:val="FFFFFF"/>
                <w:sz w:val="19"/>
                <w:szCs w:val="19"/>
              </w:rPr>
              <w:t xml:space="preserve">Prioritet</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AI-orkestrering</w:t>
            </w:r>
          </w:p>
        </w:tc>
        <w:tc>
          <w:tcPr>
            <w:tcW w:type="dxa" w:w="900"/>
            <w:tcMar>
              <w:top w:type="dxa" w:w="60"/>
              <w:left w:type="dxa" w:w="100"/>
              <w:bottom w:type="dxa" w:w="60"/>
              <w:right w:type="dxa" w:w="100"/>
            </w:tcMar>
          </w:tcPr>
          <w:p>
            <w:pPr>
              <w:spacing w:after="20" w:line="250"/>
              <w:jc w:val="center"/>
            </w:pPr>
            <w:r>
              <w:rPr>
                <w:b/>
                <w:bCs/>
                <w:color w:val="1F7A4D"/>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Master Brain + sub-agenter + approve-flöde. Här slår SCC redan GHL.</w:t>
            </w:r>
          </w:p>
        </w:tc>
        <w:tc>
          <w:tcPr>
            <w:tcW w:type="dxa" w:w="1800"/>
            <w:tcMar>
              <w:top w:type="dxa" w:w="60"/>
              <w:left w:type="dxa" w:w="100"/>
              <w:bottom w:type="dxa" w:w="60"/>
              <w:right w:type="dxa" w:w="100"/>
            </w:tcMar>
          </w:tcPr>
          <w:p>
            <w:pPr>
              <w:spacing w:after="20" w:line="250"/>
              <w:jc w:val="center"/>
            </w:pPr>
            <w:r>
              <w:rPr>
                <w:b/>
                <w:bCs/>
                <w:color w:val="555555"/>
                <w:sz w:val="19"/>
                <w:szCs w:val="19"/>
              </w:rPr>
              <w:t xml:space="preserve">—</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LLM multi-modell</w:t>
            </w:r>
          </w:p>
        </w:tc>
        <w:tc>
          <w:tcPr>
            <w:tcW w:type="dxa" w:w="900"/>
            <w:tcMar>
              <w:top w:type="dxa" w:w="60"/>
              <w:left w:type="dxa" w:w="100"/>
              <w:bottom w:type="dxa" w:w="60"/>
              <w:right w:type="dxa" w:w="100"/>
            </w:tcMar>
          </w:tcPr>
          <w:p>
            <w:pPr>
              <w:spacing w:after="20" w:line="250"/>
              <w:jc w:val="center"/>
            </w:pPr>
            <w:r>
              <w:rPr>
                <w:b/>
                <w:bCs/>
                <w:color w:val="1F7A4D"/>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OpenRouter-adapter, 500+ modeller. GHL är låst till sina modeller.</w:t>
            </w:r>
          </w:p>
        </w:tc>
        <w:tc>
          <w:tcPr>
            <w:tcW w:type="dxa" w:w="1800"/>
            <w:tcMar>
              <w:top w:type="dxa" w:w="60"/>
              <w:left w:type="dxa" w:w="100"/>
              <w:bottom w:type="dxa" w:w="60"/>
              <w:right w:type="dxa" w:w="100"/>
            </w:tcMar>
          </w:tcPr>
          <w:p>
            <w:pPr>
              <w:spacing w:after="20" w:line="250"/>
              <w:jc w:val="center"/>
            </w:pPr>
            <w:r>
              <w:rPr>
                <w:b/>
                <w:bCs/>
                <w:color w:val="555555"/>
                <w:sz w:val="19"/>
                <w:szCs w:val="19"/>
              </w:rPr>
              <w:t xml:space="preserve">—</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Lead-intake</w:t>
            </w:r>
          </w:p>
        </w:tc>
        <w:tc>
          <w:tcPr>
            <w:tcW w:type="dxa" w:w="900"/>
            <w:tcMar>
              <w:top w:type="dxa" w:w="60"/>
              <w:left w:type="dxa" w:w="100"/>
              <w:bottom w:type="dxa" w:w="60"/>
              <w:right w:type="dxa" w:w="100"/>
            </w:tcMar>
          </w:tcPr>
          <w:p>
            <w:pPr>
              <w:spacing w:after="20" w:line="250"/>
              <w:jc w:val="center"/>
            </w:pPr>
            <w:r>
              <w:rPr>
                <w:b/>
                <w:bCs/>
                <w:color w:val="1F7A4D"/>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Website → n8n → /leads/intake fungerar.</w:t>
            </w:r>
          </w:p>
        </w:tc>
        <w:tc>
          <w:tcPr>
            <w:tcW w:type="dxa" w:w="1800"/>
            <w:tcMar>
              <w:top w:type="dxa" w:w="60"/>
              <w:left w:type="dxa" w:w="100"/>
              <w:bottom w:type="dxa" w:w="60"/>
              <w:right w:type="dxa" w:w="100"/>
            </w:tcMar>
          </w:tcPr>
          <w:p>
            <w:pPr>
              <w:spacing w:after="20" w:line="250"/>
              <w:jc w:val="center"/>
            </w:pPr>
            <w:r>
              <w:rPr>
                <w:b/>
                <w:bCs/>
                <w:color w:val="555555"/>
                <w:sz w:val="19"/>
                <w:szCs w:val="19"/>
              </w:rPr>
              <w:t xml:space="preserve">—</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Röst-AI (in)</w:t>
            </w:r>
          </w:p>
        </w:tc>
        <w:tc>
          <w:tcPr>
            <w:tcW w:type="dxa" w:w="900"/>
            <w:tcMar>
              <w:top w:type="dxa" w:w="60"/>
              <w:left w:type="dxa" w:w="100"/>
              <w:bottom w:type="dxa" w:w="60"/>
              <w:right w:type="dxa" w:w="100"/>
            </w:tcMar>
          </w:tcPr>
          <w:p>
            <w:pPr>
              <w:spacing w:after="20" w:line="250"/>
              <w:jc w:val="center"/>
            </w:pPr>
            <w:r>
              <w:rPr>
                <w:b/>
                <w:bCs/>
                <w:color w:val="B8860B"/>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ElevenLabs integrerat, men bokar inte möten ännu.</w:t>
            </w:r>
          </w:p>
        </w:tc>
        <w:tc>
          <w:tcPr>
            <w:tcW w:type="dxa" w:w="1800"/>
            <w:tcMar>
              <w:top w:type="dxa" w:w="60"/>
              <w:left w:type="dxa" w:w="100"/>
              <w:bottom w:type="dxa" w:w="60"/>
              <w:right w:type="dxa" w:w="100"/>
            </w:tcMar>
          </w:tcPr>
          <w:p>
            <w:pPr>
              <w:spacing w:after="20" w:line="250"/>
              <w:jc w:val="center"/>
            </w:pPr>
            <w:r>
              <w:rPr>
                <w:b/>
                <w:bCs/>
                <w:color w:val="B8860B"/>
                <w:sz w:val="19"/>
                <w:szCs w:val="19"/>
              </w:rPr>
              <w:t xml:space="preserve">P1</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Kostnadsspårning</w:t>
            </w:r>
          </w:p>
        </w:tc>
        <w:tc>
          <w:tcPr>
            <w:tcW w:type="dxa" w:w="900"/>
            <w:tcMar>
              <w:top w:type="dxa" w:w="60"/>
              <w:left w:type="dxa" w:w="100"/>
              <w:bottom w:type="dxa" w:w="60"/>
              <w:right w:type="dxa" w:w="100"/>
            </w:tcMar>
          </w:tcPr>
          <w:p>
            <w:pPr>
              <w:spacing w:after="20" w:line="250"/>
              <w:jc w:val="center"/>
            </w:pPr>
            <w:r>
              <w:rPr>
                <w:b/>
                <w:bCs/>
                <w:color w:val="1F7A4D"/>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costs-tabell + costService — grunden för rebilling finns.</w:t>
            </w:r>
          </w:p>
        </w:tc>
        <w:tc>
          <w:tcPr>
            <w:tcW w:type="dxa" w:w="1800"/>
            <w:tcMar>
              <w:top w:type="dxa" w:w="60"/>
              <w:left w:type="dxa" w:w="100"/>
              <w:bottom w:type="dxa" w:w="60"/>
              <w:right w:type="dxa" w:w="100"/>
            </w:tcMar>
          </w:tcPr>
          <w:p>
            <w:pPr>
              <w:spacing w:after="20" w:line="250"/>
              <w:jc w:val="center"/>
            </w:pPr>
            <w:r>
              <w:rPr>
                <w:b/>
                <w:bCs/>
                <w:color w:val="555555"/>
                <w:sz w:val="19"/>
                <w:szCs w:val="19"/>
              </w:rPr>
              <w:t xml:space="preserve">—</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Contact/Lead-entitet</w:t>
            </w:r>
          </w:p>
        </w:tc>
        <w:tc>
          <w:tcPr>
            <w:tcW w:type="dxa" w:w="900"/>
            <w:tcMar>
              <w:top w:type="dxa" w:w="60"/>
              <w:left w:type="dxa" w:w="100"/>
              <w:bottom w:type="dxa" w:w="60"/>
              <w:right w:type="dxa" w:w="100"/>
            </w:tcMar>
          </w:tcPr>
          <w:p>
            <w:pPr>
              <w:spacing w:after="20" w:line="250"/>
              <w:jc w:val="center"/>
            </w:pPr>
            <w:r>
              <w:rPr>
                <w:b/>
                <w:bCs/>
                <w:color w:val="A6342E"/>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Leads är activities. Kräver normaliserad contacts-tabell.</w:t>
            </w:r>
          </w:p>
        </w:tc>
        <w:tc>
          <w:tcPr>
            <w:tcW w:type="dxa" w:w="1800"/>
            <w:tcMar>
              <w:top w:type="dxa" w:w="60"/>
              <w:left w:type="dxa" w:w="100"/>
              <w:bottom w:type="dxa" w:w="60"/>
              <w:right w:type="dxa" w:w="100"/>
            </w:tcMar>
          </w:tcPr>
          <w:p>
            <w:pPr>
              <w:spacing w:after="20" w:line="250"/>
              <w:jc w:val="center"/>
            </w:pPr>
            <w:r>
              <w:rPr>
                <w:b/>
                <w:bCs/>
                <w:color w:val="A6342E"/>
                <w:sz w:val="19"/>
                <w:szCs w:val="19"/>
              </w:rPr>
              <w:t xml:space="preserve">P0</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Pipeline / opportunities</w:t>
            </w:r>
          </w:p>
        </w:tc>
        <w:tc>
          <w:tcPr>
            <w:tcW w:type="dxa" w:w="900"/>
            <w:tcMar>
              <w:top w:type="dxa" w:w="60"/>
              <w:left w:type="dxa" w:w="100"/>
              <w:bottom w:type="dxa" w:w="60"/>
              <w:right w:type="dxa" w:w="100"/>
            </w:tcMar>
          </w:tcPr>
          <w:p>
            <w:pPr>
              <w:spacing w:after="20" w:line="250"/>
              <w:jc w:val="center"/>
            </w:pPr>
            <w:r>
              <w:rPr>
                <w:b/>
                <w:bCs/>
                <w:color w:val="A6342E"/>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Ingen deal-/stage-modell.</w:t>
            </w:r>
          </w:p>
        </w:tc>
        <w:tc>
          <w:tcPr>
            <w:tcW w:type="dxa" w:w="1800"/>
            <w:tcMar>
              <w:top w:type="dxa" w:w="60"/>
              <w:left w:type="dxa" w:w="100"/>
              <w:bottom w:type="dxa" w:w="60"/>
              <w:right w:type="dxa" w:w="100"/>
            </w:tcMar>
          </w:tcPr>
          <w:p>
            <w:pPr>
              <w:spacing w:after="20" w:line="250"/>
              <w:jc w:val="center"/>
            </w:pPr>
            <w:r>
              <w:rPr>
                <w:b/>
                <w:bCs/>
                <w:color w:val="A6342E"/>
                <w:sz w:val="19"/>
                <w:szCs w:val="19"/>
              </w:rPr>
              <w:t xml:space="preserve">P0</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Unified inbox</w:t>
            </w:r>
          </w:p>
        </w:tc>
        <w:tc>
          <w:tcPr>
            <w:tcW w:type="dxa" w:w="900"/>
            <w:tcMar>
              <w:top w:type="dxa" w:w="60"/>
              <w:left w:type="dxa" w:w="100"/>
              <w:bottom w:type="dxa" w:w="60"/>
              <w:right w:type="dxa" w:w="100"/>
            </w:tcMar>
          </w:tcPr>
          <w:p>
            <w:pPr>
              <w:spacing w:after="20" w:line="250"/>
              <w:jc w:val="center"/>
            </w:pPr>
            <w:r>
              <w:rPr>
                <w:b/>
                <w:bCs/>
                <w:color w:val="A6342E"/>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Messages finns i schema men ingen tråd-per-kontakt-vy.</w:t>
            </w:r>
          </w:p>
        </w:tc>
        <w:tc>
          <w:tcPr>
            <w:tcW w:type="dxa" w:w="1800"/>
            <w:tcMar>
              <w:top w:type="dxa" w:w="60"/>
              <w:left w:type="dxa" w:w="100"/>
              <w:bottom w:type="dxa" w:w="60"/>
              <w:right w:type="dxa" w:w="100"/>
            </w:tcMar>
          </w:tcPr>
          <w:p>
            <w:pPr>
              <w:spacing w:after="20" w:line="250"/>
              <w:jc w:val="center"/>
            </w:pPr>
            <w:r>
              <w:rPr>
                <w:b/>
                <w:bCs/>
                <w:color w:val="A6342E"/>
                <w:sz w:val="19"/>
                <w:szCs w:val="19"/>
              </w:rPr>
              <w:t xml:space="preserve">P0</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Utgående e-post</w:t>
            </w:r>
          </w:p>
        </w:tc>
        <w:tc>
          <w:tcPr>
            <w:tcW w:type="dxa" w:w="900"/>
            <w:tcMar>
              <w:top w:type="dxa" w:w="60"/>
              <w:left w:type="dxa" w:w="100"/>
              <w:bottom w:type="dxa" w:w="60"/>
              <w:right w:type="dxa" w:w="100"/>
            </w:tcMar>
          </w:tcPr>
          <w:p>
            <w:pPr>
              <w:spacing w:after="20" w:line="250"/>
              <w:jc w:val="center"/>
            </w:pPr>
            <w:r>
              <w:rPr>
                <w:b/>
                <w:bCs/>
                <w:color w:val="A6342E"/>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Ingen sändkanal. Kräver ESP (Resend/Postmark).</w:t>
            </w:r>
          </w:p>
        </w:tc>
        <w:tc>
          <w:tcPr>
            <w:tcW w:type="dxa" w:w="1800"/>
            <w:tcMar>
              <w:top w:type="dxa" w:w="60"/>
              <w:left w:type="dxa" w:w="100"/>
              <w:bottom w:type="dxa" w:w="60"/>
              <w:right w:type="dxa" w:w="100"/>
            </w:tcMar>
          </w:tcPr>
          <w:p>
            <w:pPr>
              <w:spacing w:after="20" w:line="250"/>
              <w:jc w:val="center"/>
            </w:pPr>
            <w:r>
              <w:rPr>
                <w:b/>
                <w:bCs/>
                <w:color w:val="B8860B"/>
                <w:sz w:val="19"/>
                <w:szCs w:val="19"/>
              </w:rPr>
              <w:t xml:space="preserve">P1</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Utgående SMS</w:t>
            </w:r>
          </w:p>
        </w:tc>
        <w:tc>
          <w:tcPr>
            <w:tcW w:type="dxa" w:w="900"/>
            <w:tcMar>
              <w:top w:type="dxa" w:w="60"/>
              <w:left w:type="dxa" w:w="100"/>
              <w:bottom w:type="dxa" w:w="60"/>
              <w:right w:type="dxa" w:w="100"/>
            </w:tcMar>
          </w:tcPr>
          <w:p>
            <w:pPr>
              <w:spacing w:after="20" w:line="250"/>
              <w:jc w:val="center"/>
            </w:pPr>
            <w:r>
              <w:rPr>
                <w:b/>
                <w:bCs/>
                <w:color w:val="A6342E"/>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Ingen SMS-kanal. Kräver Twilio/46elks.</w:t>
            </w:r>
          </w:p>
        </w:tc>
        <w:tc>
          <w:tcPr>
            <w:tcW w:type="dxa" w:w="1800"/>
            <w:tcMar>
              <w:top w:type="dxa" w:w="60"/>
              <w:left w:type="dxa" w:w="100"/>
              <w:bottom w:type="dxa" w:w="60"/>
              <w:right w:type="dxa" w:w="100"/>
            </w:tcMar>
          </w:tcPr>
          <w:p>
            <w:pPr>
              <w:spacing w:after="20" w:line="250"/>
              <w:jc w:val="center"/>
            </w:pPr>
            <w:r>
              <w:rPr>
                <w:b/>
                <w:bCs/>
                <w:color w:val="B8860B"/>
                <w:sz w:val="19"/>
                <w:szCs w:val="19"/>
              </w:rPr>
              <w:t xml:space="preserve">P1</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Kalender &amp; bokning</w:t>
            </w:r>
          </w:p>
        </w:tc>
        <w:tc>
          <w:tcPr>
            <w:tcW w:type="dxa" w:w="900"/>
            <w:tcMar>
              <w:top w:type="dxa" w:w="60"/>
              <w:left w:type="dxa" w:w="100"/>
              <w:bottom w:type="dxa" w:w="60"/>
              <w:right w:type="dxa" w:w="100"/>
            </w:tcMar>
          </w:tcPr>
          <w:p>
            <w:pPr>
              <w:spacing w:after="20" w:line="250"/>
              <w:jc w:val="center"/>
            </w:pPr>
            <w:r>
              <w:rPr>
                <w:b/>
                <w:bCs/>
                <w:color w:val="A6342E"/>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Stänger röst-AI-loopen. Cal.com-integration el. egen.</w:t>
            </w:r>
          </w:p>
        </w:tc>
        <w:tc>
          <w:tcPr>
            <w:tcW w:type="dxa" w:w="1800"/>
            <w:tcMar>
              <w:top w:type="dxa" w:w="60"/>
              <w:left w:type="dxa" w:w="100"/>
              <w:bottom w:type="dxa" w:w="60"/>
              <w:right w:type="dxa" w:w="100"/>
            </w:tcMar>
          </w:tcPr>
          <w:p>
            <w:pPr>
              <w:spacing w:after="20" w:line="250"/>
              <w:jc w:val="center"/>
            </w:pPr>
            <w:r>
              <w:rPr>
                <w:b/>
                <w:bCs/>
                <w:color w:val="B8860B"/>
                <w:sz w:val="19"/>
                <w:szCs w:val="19"/>
              </w:rPr>
              <w:t xml:space="preserve">P1</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Visuell workflow-byggare</w:t>
            </w:r>
          </w:p>
        </w:tc>
        <w:tc>
          <w:tcPr>
            <w:tcW w:type="dxa" w:w="900"/>
            <w:tcMar>
              <w:top w:type="dxa" w:w="60"/>
              <w:left w:type="dxa" w:w="100"/>
              <w:bottom w:type="dxa" w:w="60"/>
              <w:right w:type="dxa" w:w="100"/>
            </w:tcMar>
          </w:tcPr>
          <w:p>
            <w:pPr>
              <w:spacing w:after="20" w:line="250"/>
              <w:jc w:val="center"/>
            </w:pPr>
            <w:r>
              <w:rPr>
                <w:b/>
                <w:bCs/>
                <w:color w:val="B8860B"/>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Motor finns (dispatcher/n8n); ingen kund-vänd byggare.</w:t>
            </w:r>
          </w:p>
        </w:tc>
        <w:tc>
          <w:tcPr>
            <w:tcW w:type="dxa" w:w="1800"/>
            <w:tcMar>
              <w:top w:type="dxa" w:w="60"/>
              <w:left w:type="dxa" w:w="100"/>
              <w:bottom w:type="dxa" w:w="60"/>
              <w:right w:type="dxa" w:w="100"/>
            </w:tcMar>
          </w:tcPr>
          <w:p>
            <w:pPr>
              <w:spacing w:after="20" w:line="250"/>
              <w:jc w:val="center"/>
            </w:pPr>
            <w:r>
              <w:rPr>
                <w:b/>
                <w:bCs/>
                <w:color w:val="1E4E8C"/>
                <w:sz w:val="19"/>
                <w:szCs w:val="19"/>
              </w:rPr>
              <w:t xml:space="preserve">P2</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Funnel/formulärbyggare</w:t>
            </w:r>
          </w:p>
        </w:tc>
        <w:tc>
          <w:tcPr>
            <w:tcW w:type="dxa" w:w="900"/>
            <w:tcMar>
              <w:top w:type="dxa" w:w="60"/>
              <w:left w:type="dxa" w:w="100"/>
              <w:bottom w:type="dxa" w:w="60"/>
              <w:right w:type="dxa" w:w="100"/>
            </w:tcMar>
          </w:tcPr>
          <w:p>
            <w:pPr>
              <w:spacing w:after="20" w:line="250"/>
              <w:jc w:val="center"/>
            </w:pPr>
            <w:r>
              <w:rPr>
                <w:b/>
                <w:bCs/>
                <w:color w:val="A6342E"/>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Website tar emot formulär men ingen byggare i SCC.</w:t>
            </w:r>
          </w:p>
        </w:tc>
        <w:tc>
          <w:tcPr>
            <w:tcW w:type="dxa" w:w="1800"/>
            <w:tcMar>
              <w:top w:type="dxa" w:w="60"/>
              <w:left w:type="dxa" w:w="100"/>
              <w:bottom w:type="dxa" w:w="60"/>
              <w:right w:type="dxa" w:w="100"/>
            </w:tcMar>
          </w:tcPr>
          <w:p>
            <w:pPr>
              <w:spacing w:after="20" w:line="250"/>
              <w:jc w:val="center"/>
            </w:pPr>
            <w:r>
              <w:rPr>
                <w:b/>
                <w:bCs/>
                <w:color w:val="555555"/>
                <w:sz w:val="19"/>
                <w:szCs w:val="19"/>
              </w:rPr>
              <w:t xml:space="preserve">P3</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Recensionshantering</w:t>
            </w:r>
          </w:p>
        </w:tc>
        <w:tc>
          <w:tcPr>
            <w:tcW w:type="dxa" w:w="900"/>
            <w:tcMar>
              <w:top w:type="dxa" w:w="60"/>
              <w:left w:type="dxa" w:w="100"/>
              <w:bottom w:type="dxa" w:w="60"/>
              <w:right w:type="dxa" w:w="100"/>
            </w:tcMar>
          </w:tcPr>
          <w:p>
            <w:pPr>
              <w:spacing w:after="20" w:line="250"/>
              <w:jc w:val="center"/>
            </w:pPr>
            <w:r>
              <w:rPr>
                <w:b/>
                <w:bCs/>
                <w:color w:val="A6342E"/>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Hög lokal ROI; bygg som workflow-action.</w:t>
            </w:r>
          </w:p>
        </w:tc>
        <w:tc>
          <w:tcPr>
            <w:tcW w:type="dxa" w:w="1800"/>
            <w:tcMar>
              <w:top w:type="dxa" w:w="60"/>
              <w:left w:type="dxa" w:w="100"/>
              <w:bottom w:type="dxa" w:w="60"/>
              <w:right w:type="dxa" w:w="100"/>
            </w:tcMar>
          </w:tcPr>
          <w:p>
            <w:pPr>
              <w:spacing w:after="20" w:line="250"/>
              <w:jc w:val="center"/>
            </w:pPr>
            <w:r>
              <w:rPr>
                <w:b/>
                <w:bCs/>
                <w:color w:val="1E4E8C"/>
                <w:sz w:val="19"/>
                <w:szCs w:val="19"/>
              </w:rPr>
              <w:t xml:space="preserve">P2</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Betalningar/fakturering</w:t>
            </w:r>
          </w:p>
        </w:tc>
        <w:tc>
          <w:tcPr>
            <w:tcW w:type="dxa" w:w="900"/>
            <w:tcMar>
              <w:top w:type="dxa" w:w="60"/>
              <w:left w:type="dxa" w:w="100"/>
              <w:bottom w:type="dxa" w:w="60"/>
              <w:right w:type="dxa" w:w="100"/>
            </w:tcMar>
          </w:tcPr>
          <w:p>
            <w:pPr>
              <w:spacing w:after="20" w:line="250"/>
              <w:jc w:val="center"/>
            </w:pPr>
            <w:r>
              <w:rPr>
                <w:b/>
                <w:bCs/>
                <w:color w:val="A6342E"/>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Stripe-integration krävs för SaaS-affär.</w:t>
            </w:r>
          </w:p>
        </w:tc>
        <w:tc>
          <w:tcPr>
            <w:tcW w:type="dxa" w:w="1800"/>
            <w:tcMar>
              <w:top w:type="dxa" w:w="60"/>
              <w:left w:type="dxa" w:w="100"/>
              <w:bottom w:type="dxa" w:w="60"/>
              <w:right w:type="dxa" w:w="100"/>
            </w:tcMar>
          </w:tcPr>
          <w:p>
            <w:pPr>
              <w:spacing w:after="20" w:line="250"/>
              <w:jc w:val="center"/>
            </w:pPr>
            <w:r>
              <w:rPr>
                <w:b/>
                <w:bCs/>
                <w:color w:val="1E4E8C"/>
                <w:sz w:val="19"/>
                <w:szCs w:val="19"/>
              </w:rPr>
              <w:t xml:space="preserve">P2</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Kurser/medlemskap</w:t>
            </w:r>
          </w:p>
        </w:tc>
        <w:tc>
          <w:tcPr>
            <w:tcW w:type="dxa" w:w="900"/>
            <w:tcMar>
              <w:top w:type="dxa" w:w="60"/>
              <w:left w:type="dxa" w:w="100"/>
              <w:bottom w:type="dxa" w:w="60"/>
              <w:right w:type="dxa" w:w="100"/>
            </w:tcMar>
          </w:tcPr>
          <w:p>
            <w:pPr>
              <w:spacing w:after="20" w:line="250"/>
              <w:jc w:val="center"/>
            </w:pPr>
            <w:r>
              <w:rPr>
                <w:b/>
                <w:bCs/>
                <w:color w:val="A6342E"/>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Lågt värde för Skylands nuvarande kunder.</w:t>
            </w:r>
          </w:p>
        </w:tc>
        <w:tc>
          <w:tcPr>
            <w:tcW w:type="dxa" w:w="1800"/>
            <w:tcMar>
              <w:top w:type="dxa" w:w="60"/>
              <w:left w:type="dxa" w:w="100"/>
              <w:bottom w:type="dxa" w:w="60"/>
              <w:right w:type="dxa" w:w="100"/>
            </w:tcMar>
          </w:tcPr>
          <w:p>
            <w:pPr>
              <w:spacing w:after="20" w:line="250"/>
              <w:jc w:val="center"/>
            </w:pPr>
            <w:r>
              <w:rPr>
                <w:b/>
                <w:bCs/>
                <w:color w:val="555555"/>
                <w:sz w:val="19"/>
                <w:szCs w:val="19"/>
              </w:rPr>
              <w:t xml:space="preserve">P3</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White-label / snapshots</w:t>
            </w:r>
          </w:p>
        </w:tc>
        <w:tc>
          <w:tcPr>
            <w:tcW w:type="dxa" w:w="900"/>
            <w:tcMar>
              <w:top w:type="dxa" w:w="60"/>
              <w:left w:type="dxa" w:w="100"/>
              <w:bottom w:type="dxa" w:w="60"/>
              <w:right w:type="dxa" w:w="100"/>
            </w:tcMar>
          </w:tcPr>
          <w:p>
            <w:pPr>
              <w:spacing w:after="20" w:line="250"/>
              <w:jc w:val="center"/>
            </w:pPr>
            <w:r>
              <w:rPr>
                <w:b/>
                <w:bCs/>
                <w:color w:val="B8860B"/>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3D-instanser finns; ingen mall-deploy/branding.</w:t>
            </w:r>
          </w:p>
        </w:tc>
        <w:tc>
          <w:tcPr>
            <w:tcW w:type="dxa" w:w="1800"/>
            <w:tcMar>
              <w:top w:type="dxa" w:w="60"/>
              <w:left w:type="dxa" w:w="100"/>
              <w:bottom w:type="dxa" w:w="60"/>
              <w:right w:type="dxa" w:w="100"/>
            </w:tcMar>
          </w:tcPr>
          <w:p>
            <w:pPr>
              <w:spacing w:after="20" w:line="250"/>
              <w:jc w:val="center"/>
            </w:pPr>
            <w:r>
              <w:rPr>
                <w:b/>
                <w:bCs/>
                <w:color w:val="1E4E8C"/>
                <w:sz w:val="19"/>
                <w:szCs w:val="19"/>
              </w:rPr>
              <w:t xml:space="preserve">P2</w:t>
            </w:r>
          </w:p>
        </w:tc>
      </w:tr>
      <w:tr>
        <w:tc>
          <w:tcPr>
            <w:tcW w:type="dxa" w:w="2500"/>
            <w:shd w:fill="F6F9FC" w:color="auto" w:val="clear"/>
            <w:tcMar>
              <w:top w:type="dxa" w:w="60"/>
              <w:left w:type="dxa" w:w="100"/>
              <w:bottom w:type="dxa" w:w="60"/>
              <w:right w:type="dxa" w:w="100"/>
            </w:tcMar>
          </w:tcPr>
          <w:p>
            <w:pPr>
              <w:spacing w:after="20" w:line="250"/>
              <w:jc w:val="left"/>
            </w:pPr>
            <w:r>
              <w:rPr>
                <w:b/>
                <w:bCs/>
                <w:color w:val="222222"/>
                <w:sz w:val="19"/>
                <w:szCs w:val="19"/>
              </w:rPr>
              <w:t xml:space="preserve">Rebilling / SaaS-fakturering</w:t>
            </w:r>
          </w:p>
        </w:tc>
        <w:tc>
          <w:tcPr>
            <w:tcW w:type="dxa" w:w="900"/>
            <w:tcMar>
              <w:top w:type="dxa" w:w="60"/>
              <w:left w:type="dxa" w:w="100"/>
              <w:bottom w:type="dxa" w:w="60"/>
              <w:right w:type="dxa" w:w="100"/>
            </w:tcMar>
          </w:tcPr>
          <w:p>
            <w:pPr>
              <w:spacing w:after="20" w:line="250"/>
              <w:jc w:val="center"/>
            </w:pPr>
            <w:r>
              <w:rPr>
                <w:b/>
                <w:bCs/>
                <w:color w:val="A6342E"/>
                <w:sz w:val="19"/>
                <w:szCs w:val="19"/>
              </w:rPr>
              <w:t xml:space="preserve">✘</w:t>
            </w:r>
          </w:p>
        </w:tc>
        <w:tc>
          <w:tcPr>
            <w:tcW w:type="dxa" w:w="4160"/>
            <w:tcMar>
              <w:top w:type="dxa" w:w="60"/>
              <w:left w:type="dxa" w:w="100"/>
              <w:bottom w:type="dxa" w:w="60"/>
              <w:right w:type="dxa" w:w="100"/>
            </w:tcMar>
          </w:tcPr>
          <w:p>
            <w:pPr>
              <w:spacing w:after="20" w:line="250"/>
              <w:jc w:val="left"/>
            </w:pPr>
            <w:r>
              <w:rPr>
                <w:b w:val="false"/>
                <w:bCs w:val="false"/>
                <w:color w:val="222222"/>
                <w:sz w:val="19"/>
                <w:szCs w:val="19"/>
              </w:rPr>
              <w:t xml:space="preserve">costs finns; kräver Stripe + påslagslogik.</w:t>
            </w:r>
          </w:p>
        </w:tc>
        <w:tc>
          <w:tcPr>
            <w:tcW w:type="dxa" w:w="1800"/>
            <w:tcMar>
              <w:top w:type="dxa" w:w="60"/>
              <w:left w:type="dxa" w:w="100"/>
              <w:bottom w:type="dxa" w:w="60"/>
              <w:right w:type="dxa" w:w="100"/>
            </w:tcMar>
          </w:tcPr>
          <w:p>
            <w:pPr>
              <w:spacing w:after="20" w:line="250"/>
              <w:jc w:val="center"/>
            </w:pPr>
            <w:r>
              <w:rPr>
                <w:b/>
                <w:bCs/>
                <w:color w:val="1E4E8C"/>
                <w:sz w:val="19"/>
                <w:szCs w:val="19"/>
              </w:rPr>
              <w:t xml:space="preserve">P2</w:t>
            </w:r>
          </w:p>
        </w:tc>
      </w:tr>
    </w:tbl>
    <w:p>
      <w:r>
        <w:br w:type="page"/>
      </w:r>
    </w:p>
    <w:p>
      <w:pPr>
        <w:pStyle w:val="Heading1"/>
        <w:spacing w:after="140" w:before="320"/>
      </w:pPr>
      <w:r>
        <w:rPr>
          <w:b/>
          <w:bCs/>
          <w:color w:val="0B1F3A"/>
          <w:sz w:val="30"/>
          <w:szCs w:val="30"/>
        </w:rPr>
        <w:t xml:space="preserve">6. Strategisk hållning</w:t>
      </w:r>
    </w:p>
    <w:p>
      <w:pPr>
        <w:pStyle w:val="Heading2"/>
        <w:spacing w:after="100" w:before="240"/>
      </w:pPr>
      <w:r>
        <w:rPr>
          <w:b/>
          <w:bCs/>
          <w:color w:val="1E4E8C"/>
          <w:sz w:val="25"/>
          <w:szCs w:val="25"/>
        </w:rPr>
        <w:t xml:space="preserve">6.1 Bygg-vs-köp-beslutet</w:t>
      </w:r>
    </w:p>
    <w:p>
      <w:pPr>
        <w:spacing w:after="120" w:line="276"/>
      </w:pPr>
      <w:r>
        <w:rPr>
          <w:b/>
          <w:bCs/>
          <w:i w:val="false"/>
          <w:iCs w:val="false"/>
          <w:color w:val="0B1F3A"/>
          <w:sz w:val="21"/>
          <w:szCs w:val="21"/>
        </w:rPr>
        <w:t xml:space="preserve">Vald väg: bygg det tunna lagret, köp inte plattformen. </w:t>
      </w:r>
      <w:r>
        <w:rPr>
          <w:b w:val="false"/>
          <w:bCs w:val="false"/>
          <w:i w:val="false"/>
          <w:iCs w:val="false"/>
          <w:color w:val="222222"/>
          <w:sz w:val="21"/>
          <w:szCs w:val="21"/>
        </w:rPr>
        <w:t xml:space="preserve">Att integrera GHL som backend skulle innebära att lämna ifrån sig datamodellen, betala 497 USD/mån och ärva GHL:s prestanda- och leveransproblem — samtidigt som Skylands unika AI-kärna reduceras till en webhook-action i någon annans produkt. Det motverkar hela poängen.</w:t>
      </w:r>
    </w:p>
    <w:p>
      <w:pPr>
        <w:spacing w:after="120" w:line="276"/>
      </w:pPr>
      <w:r>
        <w:rPr>
          <w:b w:val="false"/>
          <w:bCs w:val="false"/>
          <w:i w:val="false"/>
          <w:iCs w:val="false"/>
          <w:color w:val="222222"/>
          <w:sz w:val="21"/>
          <w:szCs w:val="21"/>
        </w:rPr>
        <w:t xml:space="preserve">Istället: SCC har redan de dyra, svårbyggda delarna (AI-orkestrering, agent-dispatch, kostnadsspårning, event-infrastruktur). Det som saknas är väldefinierat och relativt standard: en CRM-datamodell, meddelandekanaler, en kalender och en tunn white-label-mekanik. Det bygger vi själva och äger till 100 %.</w:t>
      </w:r>
    </w:p>
    <w:p>
      <w:pPr>
        <w:pStyle w:val="Heading2"/>
        <w:spacing w:after="100" w:before="240"/>
      </w:pPr>
      <w:r>
        <w:rPr>
          <w:b/>
          <w:bCs/>
          <w:color w:val="1E4E8C"/>
          <w:sz w:val="25"/>
          <w:szCs w:val="25"/>
        </w:rPr>
        <w:t xml:space="preserve">6.2 Positionering — hur vi slår GHL istället för att härma den</w:t>
      </w:r>
    </w:p>
    <w:p>
      <w:pPr>
        <w:pStyle w:val="ListParagraph"/>
        <w:numPr>
          <w:ilvl w:val="0"/>
          <w:numId w:val="3"/>
        </w:numPr>
        <w:spacing w:after="60" w:line="268"/>
      </w:pPr>
      <w:r>
        <w:rPr>
          <w:b/>
          <w:bCs/>
          <w:i w:val="false"/>
          <w:iCs w:val="false"/>
          <w:color w:val="222222"/>
          <w:sz w:val="21"/>
          <w:szCs w:val="21"/>
        </w:rPr>
        <w:t xml:space="preserve">Agent-native automation. </w:t>
      </w:r>
      <w:r>
        <w:rPr>
          <w:b w:val="false"/>
          <w:bCs w:val="false"/>
          <w:i w:val="false"/>
          <w:iCs w:val="false"/>
          <w:color w:val="222222"/>
          <w:sz w:val="21"/>
          <w:szCs w:val="21"/>
        </w:rPr>
        <w:t xml:space="preserve">Där GHL:s workflow-action är "skicka SMS", är SCC:s action "kör en AI-agent som researchar, skriver och föreslår — med approve-flöde". Det är kategoriskt starkare.</w:t>
      </w:r>
    </w:p>
    <w:p>
      <w:pPr>
        <w:pStyle w:val="ListParagraph"/>
        <w:numPr>
          <w:ilvl w:val="0"/>
          <w:numId w:val="3"/>
        </w:numPr>
        <w:spacing w:after="60" w:line="268"/>
      </w:pPr>
      <w:r>
        <w:rPr>
          <w:b/>
          <w:bCs/>
          <w:i w:val="false"/>
          <w:iCs w:val="false"/>
          <w:color w:val="222222"/>
          <w:sz w:val="21"/>
          <w:szCs w:val="21"/>
        </w:rPr>
        <w:t xml:space="preserve">Svensk marknad, svensk leverans. </w:t>
      </w:r>
      <w:r>
        <w:rPr>
          <w:b w:val="false"/>
          <w:bCs w:val="false"/>
          <w:i w:val="false"/>
          <w:iCs w:val="false"/>
          <w:color w:val="222222"/>
          <w:sz w:val="21"/>
          <w:szCs w:val="21"/>
        </w:rPr>
        <w:t xml:space="preserve">GHL:s e-postleverans och språkstöd är byggt för USA. Skyland kan äga svensk SMS (46elks), svensk e-postleverans och svenskt röst-AI-flöde.</w:t>
      </w:r>
    </w:p>
    <w:p>
      <w:pPr>
        <w:pStyle w:val="ListParagraph"/>
        <w:numPr>
          <w:ilvl w:val="0"/>
          <w:numId w:val="3"/>
        </w:numPr>
        <w:spacing w:after="60" w:line="268"/>
      </w:pPr>
      <w:r>
        <w:rPr>
          <w:b/>
          <w:bCs/>
          <w:i w:val="false"/>
          <w:iCs w:val="false"/>
          <w:color w:val="222222"/>
          <w:sz w:val="21"/>
          <w:szCs w:val="21"/>
        </w:rPr>
        <w:t xml:space="preserve">Operatörsstyrd, inte självbetjäning. </w:t>
      </w:r>
      <w:r>
        <w:rPr>
          <w:b w:val="false"/>
          <w:bCs w:val="false"/>
          <w:i w:val="false"/>
          <w:iCs w:val="false"/>
          <w:color w:val="222222"/>
          <w:sz w:val="21"/>
          <w:szCs w:val="21"/>
        </w:rPr>
        <w:t xml:space="preserve">GHL kräver att kunden lär sig en brant plattform. Skyland levererar resultat via Master Brain — kunden pratar, agenten gör. Det är en helt annan produktupplevelse.</w:t>
      </w:r>
    </w:p>
    <w:p>
      <w:r>
        <w:br w:type="page"/>
      </w:r>
    </w:p>
    <w:p>
      <w:pPr>
        <w:pStyle w:val="Heading1"/>
        <w:spacing w:after="140" w:before="320"/>
      </w:pPr>
      <w:r>
        <w:rPr>
          <w:b/>
          <w:bCs/>
          <w:color w:val="0B1F3A"/>
          <w:sz w:val="30"/>
          <w:szCs w:val="30"/>
        </w:rPr>
        <w:t xml:space="preserve">7. Implementationsplan — strategisk roadmap</w:t>
      </w:r>
    </w:p>
    <w:p>
      <w:pPr>
        <w:spacing w:after="120" w:line="276"/>
      </w:pPr>
      <w:r>
        <w:rPr>
          <w:b w:val="false"/>
          <w:bCs w:val="false"/>
          <w:i w:val="false"/>
          <w:iCs w:val="false"/>
          <w:color w:val="222222"/>
          <w:sz w:val="21"/>
          <w:szCs w:val="21"/>
        </w:rPr>
        <w:t xml:space="preserve">Now / Next / Later. Varje fas levererar självständigt kundvärde och bygger mot att helt ersätta GHL.</w:t>
      </w:r>
    </w:p>
    <w:p>
      <w:pPr>
        <w:pStyle w:val="Heading2"/>
        <w:spacing w:after="100" w:before="240"/>
      </w:pPr>
      <w:r>
        <w:rPr>
          <w:b/>
          <w:bCs/>
          <w:color w:val="1E4E8C"/>
          <w:sz w:val="25"/>
          <w:szCs w:val="25"/>
        </w:rPr>
        <w:t xml:space="preserve">NOW — Fas 1: CRM-kärnan (v2.0)</w:t>
      </w:r>
    </w:p>
    <w:p>
      <w:pPr>
        <w:spacing w:after="120" w:line="276"/>
      </w:pPr>
      <w:r>
        <w:rPr>
          <w:b w:val="false"/>
          <w:bCs w:val="false"/>
          <w:i/>
          <w:iCs/>
          <w:color w:val="222222"/>
          <w:sz w:val="21"/>
          <w:szCs w:val="21"/>
        </w:rPr>
        <w:t xml:space="preserve">Mål: ge SCC en riktig kontakt- och pipeline-modell så att leads blir hanterbara entiteter, inte bara loggrader. Detta låser upp allt annat.</w:t>
      </w:r>
    </w:p>
    <w:p>
      <w:pPr>
        <w:pStyle w:val="ListParagraph"/>
        <w:numPr>
          <w:ilvl w:val="0"/>
          <w:numId w:val="3"/>
        </w:numPr>
        <w:spacing w:after="60" w:line="268"/>
      </w:pPr>
      <w:r>
        <w:rPr>
          <w:color w:val="222222"/>
          <w:sz w:val="21"/>
          <w:szCs w:val="21"/>
        </w:rPr>
        <w:t xml:space="preserve">Normaliserad contacts-tabell + migrera lead-intake att skriva dit.</w:t>
      </w:r>
    </w:p>
    <w:p>
      <w:pPr>
        <w:pStyle w:val="ListParagraph"/>
        <w:numPr>
          <w:ilvl w:val="0"/>
          <w:numId w:val="3"/>
        </w:numPr>
        <w:spacing w:after="60" w:line="268"/>
      </w:pPr>
      <w:r>
        <w:rPr>
          <w:color w:val="222222"/>
          <w:sz w:val="21"/>
          <w:szCs w:val="21"/>
        </w:rPr>
        <w:t xml:space="preserve">Pipelines/opportunities med stages och drag-bar kanban i frontend.</w:t>
      </w:r>
    </w:p>
    <w:p>
      <w:pPr>
        <w:pStyle w:val="ListParagraph"/>
        <w:numPr>
          <w:ilvl w:val="0"/>
          <w:numId w:val="3"/>
        </w:numPr>
        <w:spacing w:after="60" w:line="268"/>
      </w:pPr>
      <w:r>
        <w:rPr>
          <w:color w:val="222222"/>
          <w:sz w:val="21"/>
          <w:szCs w:val="21"/>
        </w:rPr>
        <w:t xml:space="preserve">Unified conversation-inbox: tråd per kontakt över kanaler.</w:t>
      </w:r>
    </w:p>
    <w:p>
      <w:pPr>
        <w:pStyle w:val="ListParagraph"/>
        <w:numPr>
          <w:ilvl w:val="0"/>
          <w:numId w:val="3"/>
        </w:numPr>
        <w:spacing w:after="60" w:line="268"/>
      </w:pPr>
      <w:r>
        <w:rPr>
          <w:color w:val="222222"/>
          <w:sz w:val="21"/>
          <w:szCs w:val="21"/>
        </w:rPr>
        <w:t xml:space="preserve">Master Brain-verktyg utökas: get_contact, move_opportunity, log_interaction.</w:t>
      </w:r>
    </w:p>
    <w:p>
      <w:pPr>
        <w:pStyle w:val="Heading2"/>
        <w:spacing w:after="100" w:before="240"/>
      </w:pPr>
      <w:r>
        <w:rPr>
          <w:b/>
          <w:bCs/>
          <w:color w:val="1E4E8C"/>
          <w:sz w:val="25"/>
          <w:szCs w:val="25"/>
        </w:rPr>
        <w:t xml:space="preserve">NEXT — Fas 2: Kanaler &amp; bokning (v2.1)</w:t>
      </w:r>
    </w:p>
    <w:p>
      <w:pPr>
        <w:spacing w:after="120" w:line="276"/>
      </w:pPr>
      <w:r>
        <w:rPr>
          <w:b w:val="false"/>
          <w:bCs w:val="false"/>
          <w:i/>
          <w:iCs/>
          <w:color w:val="222222"/>
          <w:sz w:val="21"/>
          <w:szCs w:val="21"/>
        </w:rPr>
        <w:t xml:space="preserve">Mål: stäng loopen — SCC ska kunna svara utåt och boka möten, inte bara ta emot.</w:t>
      </w:r>
    </w:p>
    <w:p>
      <w:pPr>
        <w:pStyle w:val="ListParagraph"/>
        <w:numPr>
          <w:ilvl w:val="0"/>
          <w:numId w:val="3"/>
        </w:numPr>
        <w:spacing w:after="60" w:line="268"/>
      </w:pPr>
      <w:r>
        <w:rPr>
          <w:color w:val="222222"/>
          <w:sz w:val="21"/>
          <w:szCs w:val="21"/>
        </w:rPr>
        <w:t xml:space="preserve">Utgående e-post via Resend/Postmark (dedikerad domän, SPF/DKIM/DMARC — undvik GHL:s leveransproblem).</w:t>
      </w:r>
    </w:p>
    <w:p>
      <w:pPr>
        <w:pStyle w:val="ListParagraph"/>
        <w:numPr>
          <w:ilvl w:val="0"/>
          <w:numId w:val="3"/>
        </w:numPr>
        <w:spacing w:after="60" w:line="268"/>
      </w:pPr>
      <w:r>
        <w:rPr>
          <w:color w:val="222222"/>
          <w:sz w:val="21"/>
          <w:szCs w:val="21"/>
        </w:rPr>
        <w:t xml:space="preserve">Utgående SMS via 46elks (svenskt) eller Twilio.</w:t>
      </w:r>
    </w:p>
    <w:p>
      <w:pPr>
        <w:pStyle w:val="ListParagraph"/>
        <w:numPr>
          <w:ilvl w:val="0"/>
          <w:numId w:val="3"/>
        </w:numPr>
        <w:spacing w:after="60" w:line="268"/>
      </w:pPr>
      <w:r>
        <w:rPr>
          <w:color w:val="222222"/>
          <w:sz w:val="21"/>
          <w:szCs w:val="21"/>
        </w:rPr>
        <w:t xml:space="preserve">Kalender &amp; bokning (Cal.com-integration el. egen) med buffertar/konflikter.</w:t>
      </w:r>
    </w:p>
    <w:p>
      <w:pPr>
        <w:pStyle w:val="ListParagraph"/>
        <w:numPr>
          <w:ilvl w:val="0"/>
          <w:numId w:val="3"/>
        </w:numPr>
        <w:spacing w:after="60" w:line="268"/>
      </w:pPr>
      <w:r>
        <w:rPr>
          <w:color w:val="222222"/>
          <w:sz w:val="21"/>
          <w:szCs w:val="21"/>
        </w:rPr>
        <w:t xml:space="preserve">Koppla röst-AI (ElevenLabs) till bokning så inkommande samtal bokar möten.</w:t>
      </w:r>
    </w:p>
    <w:p>
      <w:pPr>
        <w:pStyle w:val="Heading2"/>
        <w:spacing w:after="100" w:before="240"/>
      </w:pPr>
      <w:r>
        <w:rPr>
          <w:b/>
          <w:bCs/>
          <w:color w:val="1E4E8C"/>
          <w:sz w:val="25"/>
          <w:szCs w:val="25"/>
        </w:rPr>
        <w:t xml:space="preserve">NEXT — Fas 3: Automation som produkt (v2.2)</w:t>
      </w:r>
    </w:p>
    <w:p>
      <w:pPr>
        <w:spacing w:after="120" w:line="276"/>
      </w:pPr>
      <w:r>
        <w:rPr>
          <w:b w:val="false"/>
          <w:bCs w:val="false"/>
          <w:i/>
          <w:iCs/>
          <w:color w:val="222222"/>
          <w:sz w:val="21"/>
          <w:szCs w:val="21"/>
        </w:rPr>
        <w:t xml:space="preserve">Mål: exponera motorn som en byggbar workflow — men med AI-agenter som actions.</w:t>
      </w:r>
    </w:p>
    <w:p>
      <w:pPr>
        <w:pStyle w:val="ListParagraph"/>
        <w:numPr>
          <w:ilvl w:val="0"/>
          <w:numId w:val="3"/>
        </w:numPr>
        <w:spacing w:after="60" w:line="268"/>
      </w:pPr>
      <w:r>
        <w:rPr>
          <w:color w:val="222222"/>
          <w:sz w:val="21"/>
          <w:szCs w:val="21"/>
        </w:rPr>
        <w:t xml:space="preserve">Trigger-katalog (contact created, form submitted, stage changed, no-reply timeout).</w:t>
      </w:r>
    </w:p>
    <w:p>
      <w:pPr>
        <w:pStyle w:val="ListParagraph"/>
        <w:numPr>
          <w:ilvl w:val="0"/>
          <w:numId w:val="3"/>
        </w:numPr>
        <w:spacing w:after="60" w:line="268"/>
      </w:pPr>
      <w:r>
        <w:rPr>
          <w:color w:val="222222"/>
          <w:sz w:val="21"/>
          <w:szCs w:val="21"/>
        </w:rPr>
        <w:t xml:space="preserve">Action-katalog: send_email, send_sms, dispatch_agent, request_review, move_stage.</w:t>
      </w:r>
    </w:p>
    <w:p>
      <w:pPr>
        <w:pStyle w:val="ListParagraph"/>
        <w:numPr>
          <w:ilvl w:val="0"/>
          <w:numId w:val="3"/>
        </w:numPr>
        <w:spacing w:after="60" w:line="268"/>
      </w:pPr>
      <w:r>
        <w:rPr>
          <w:color w:val="222222"/>
          <w:sz w:val="21"/>
          <w:szCs w:val="21"/>
        </w:rPr>
        <w:t xml:space="preserve">Visuell flödesbyggare i frontend (återanvänd 3D/canvas-kompetensen).</w:t>
      </w:r>
    </w:p>
    <w:p>
      <w:pPr>
        <w:pStyle w:val="Heading2"/>
        <w:spacing w:after="100" w:before="240"/>
      </w:pPr>
      <w:r>
        <w:rPr>
          <w:b/>
          <w:bCs/>
          <w:color w:val="1E4E8C"/>
          <w:sz w:val="25"/>
          <w:szCs w:val="25"/>
        </w:rPr>
        <w:t xml:space="preserve">LATER — Fas 4: White-label &amp; SaaS (v3.0)</w:t>
      </w:r>
    </w:p>
    <w:p>
      <w:pPr>
        <w:spacing w:after="120" w:line="276"/>
      </w:pPr>
      <w:r>
        <w:rPr>
          <w:b w:val="false"/>
          <w:bCs w:val="false"/>
          <w:i/>
          <w:iCs/>
          <w:color w:val="222222"/>
          <w:sz w:val="21"/>
          <w:szCs w:val="21"/>
        </w:rPr>
        <w:t xml:space="preserve">Mål: gör Skyland till en säljbar plattform — replikera GHL:s affärsmodell, äg hela stacken.</w:t>
      </w:r>
    </w:p>
    <w:p>
      <w:pPr>
        <w:pStyle w:val="ListParagraph"/>
        <w:numPr>
          <w:ilvl w:val="0"/>
          <w:numId w:val="3"/>
        </w:numPr>
        <w:spacing w:after="60" w:line="268"/>
      </w:pPr>
      <w:r>
        <w:rPr>
          <w:color w:val="222222"/>
          <w:sz w:val="21"/>
          <w:szCs w:val="21"/>
        </w:rPr>
        <w:t xml:space="preserve">Snapshots: mall-deploy av en färdig kundinstans (pipelines + workflows).</w:t>
      </w:r>
    </w:p>
    <w:p>
      <w:pPr>
        <w:pStyle w:val="ListParagraph"/>
        <w:numPr>
          <w:ilvl w:val="0"/>
          <w:numId w:val="3"/>
        </w:numPr>
        <w:spacing w:after="60" w:line="268"/>
      </w:pPr>
      <w:r>
        <w:rPr>
          <w:color w:val="222222"/>
          <w:sz w:val="21"/>
          <w:szCs w:val="21"/>
        </w:rPr>
        <w:t xml:space="preserve">Per-kund branding (logo, färg, subdomän).</w:t>
      </w:r>
    </w:p>
    <w:p>
      <w:pPr>
        <w:pStyle w:val="ListParagraph"/>
        <w:numPr>
          <w:ilvl w:val="0"/>
          <w:numId w:val="3"/>
        </w:numPr>
        <w:spacing w:after="60" w:line="268"/>
      </w:pPr>
      <w:r>
        <w:rPr>
          <w:color w:val="222222"/>
          <w:sz w:val="21"/>
          <w:szCs w:val="21"/>
        </w:rPr>
        <w:t xml:space="preserve">Stripe-fakturering + rebilling med påslag på förbrukning (bygg ovanpå costs).</w:t>
      </w:r>
    </w:p>
    <w:p>
      <w:pPr>
        <w:pStyle w:val="ListParagraph"/>
        <w:numPr>
          <w:ilvl w:val="0"/>
          <w:numId w:val="3"/>
        </w:numPr>
        <w:spacing w:after="60" w:line="268"/>
      </w:pPr>
      <w:r>
        <w:rPr>
          <w:color w:val="222222"/>
          <w:sz w:val="21"/>
          <w:szCs w:val="21"/>
        </w:rPr>
        <w:t xml:space="preserve">Recensionshantering + betalningar/fakturor som workflow-actions.</w:t>
      </w:r>
    </w:p>
    <w:p>
      <w:r>
        <w:br w:type="page"/>
      </w:r>
    </w:p>
    <w:p>
      <w:pPr>
        <w:pStyle w:val="Heading1"/>
        <w:spacing w:after="140" w:before="320"/>
      </w:pPr>
      <w:r>
        <w:rPr>
          <w:b/>
          <w:bCs/>
          <w:color w:val="0B1F3A"/>
          <w:sz w:val="30"/>
          <w:szCs w:val="30"/>
        </w:rPr>
        <w:t xml:space="preserve">8. Tekniska tickets kopplade till kodbasen</w:t>
      </w:r>
    </w:p>
    <w:p>
      <w:pPr>
        <w:spacing w:after="120" w:line="276"/>
      </w:pPr>
      <w:r>
        <w:rPr>
          <w:b w:val="false"/>
          <w:bCs w:val="false"/>
          <w:i w:val="false"/>
          <w:iCs w:val="false"/>
          <w:color w:val="222222"/>
          <w:sz w:val="21"/>
          <w:szCs w:val="21"/>
        </w:rPr>
        <w:t xml:space="preserve">Tickets följer SCC:s befintliga konventioner: routes under backend/src/routes/, Master Brain-verktyg i llm/tools.ts, DB-migrations under database/migrations/, commit-stil feat(scope): beskrivning. Alla kund-påverkande actions ska följa AGENT_POLICY (SUGGEST som standard).</w:t>
      </w:r>
    </w:p>
    <w:tbl>
      <w:tblPr>
        <w:tblW w:type="dxa" w:w="9360"/>
        <w:tblBorders>
          <w:top w:val="single" w:color="C9D6E5" w:sz="4"/>
          <w:left w:val="single" w:color="C9D6E5" w:sz="4"/>
          <w:bottom w:val="single" w:color="C9D6E5" w:sz="4"/>
          <w:right w:val="single" w:color="C9D6E5" w:sz="4"/>
          <w:insideH w:val="single" w:color="DCE6F0" w:sz="4"/>
          <w:insideV w:val="single" w:color="DCE6F0" w:sz="4"/>
        </w:tblBorders>
      </w:tblPr>
      <w:tblGrid>
        <w:gridCol w:w="1050"/>
        <w:gridCol w:w="3400"/>
        <w:gridCol w:w="3760"/>
        <w:gridCol w:w="1150"/>
      </w:tblGrid>
      <w:tr>
        <w:trPr>
          <w:tblHeader/>
        </w:trPr>
        <w:tc>
          <w:tcPr>
            <w:tcW w:type="dxa" w:w="1050"/>
            <w:shd w:fill="0B1F3A" w:color="auto" w:val="clear"/>
            <w:tcMar>
              <w:top w:type="dxa" w:w="60"/>
              <w:left w:type="dxa" w:w="100"/>
              <w:bottom w:type="dxa" w:w="60"/>
              <w:right w:type="dxa" w:w="100"/>
            </w:tcMar>
          </w:tcPr>
          <w:p>
            <w:pPr>
              <w:spacing w:after="20" w:line="250"/>
              <w:jc w:val="left"/>
            </w:pPr>
            <w:r>
              <w:rPr>
                <w:b/>
                <w:bCs/>
                <w:color w:val="FFFFFF"/>
                <w:sz w:val="19"/>
                <w:szCs w:val="19"/>
              </w:rPr>
              <w:t xml:space="preserve">ID</w:t>
            </w:r>
          </w:p>
        </w:tc>
        <w:tc>
          <w:tcPr>
            <w:tcW w:type="dxa" w:w="3400"/>
            <w:shd w:fill="0B1F3A" w:color="auto" w:val="clear"/>
            <w:tcMar>
              <w:top w:type="dxa" w:w="60"/>
              <w:left w:type="dxa" w:w="100"/>
              <w:bottom w:type="dxa" w:w="60"/>
              <w:right w:type="dxa" w:w="100"/>
            </w:tcMar>
          </w:tcPr>
          <w:p>
            <w:pPr>
              <w:spacing w:after="20" w:line="250"/>
              <w:jc w:val="left"/>
            </w:pPr>
            <w:r>
              <w:rPr>
                <w:b/>
                <w:bCs/>
                <w:color w:val="FFFFFF"/>
                <w:sz w:val="19"/>
                <w:szCs w:val="19"/>
              </w:rPr>
              <w:t xml:space="preserve">Titel</w:t>
            </w:r>
          </w:p>
        </w:tc>
        <w:tc>
          <w:tcPr>
            <w:tcW w:type="dxa" w:w="3760"/>
            <w:shd w:fill="0B1F3A" w:color="auto" w:val="clear"/>
            <w:tcMar>
              <w:top w:type="dxa" w:w="60"/>
              <w:left w:type="dxa" w:w="100"/>
              <w:bottom w:type="dxa" w:w="60"/>
              <w:right w:type="dxa" w:w="100"/>
            </w:tcMar>
          </w:tcPr>
          <w:p>
            <w:pPr>
              <w:spacing w:after="20" w:line="250"/>
              <w:jc w:val="left"/>
            </w:pPr>
            <w:r>
              <w:rPr>
                <w:b/>
                <w:bCs/>
                <w:color w:val="FFFFFF"/>
                <w:sz w:val="19"/>
                <w:szCs w:val="19"/>
              </w:rPr>
              <w:t xml:space="preserve">Innehåll &amp; filer</w:t>
            </w:r>
          </w:p>
        </w:tc>
        <w:tc>
          <w:tcPr>
            <w:tcW w:type="dxa" w:w="1150"/>
            <w:shd w:fill="0B1F3A" w:color="auto" w:val="clear"/>
            <w:tcMar>
              <w:top w:type="dxa" w:w="60"/>
              <w:left w:type="dxa" w:w="100"/>
              <w:bottom w:type="dxa" w:w="60"/>
              <w:right w:type="dxa" w:w="100"/>
            </w:tcMar>
          </w:tcPr>
          <w:p>
            <w:pPr>
              <w:spacing w:after="20" w:line="250"/>
              <w:jc w:val="left"/>
            </w:pPr>
            <w:r>
              <w:rPr>
                <w:b/>
                <w:bCs/>
                <w:color w:val="FFFFFF"/>
                <w:sz w:val="19"/>
                <w:szCs w:val="19"/>
              </w:rPr>
              <w:t xml:space="preserve">Fas</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SCC-22</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Contacts-datamodell</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Ny tabell contacts (id, customer_id, name, email, phone, company, tags[], custom jsonb, status). Migration i database/migrations/. Backfill från activities.</w:t>
            </w:r>
          </w:p>
        </w:tc>
        <w:tc>
          <w:tcPr>
            <w:tcW w:type="dxa" w:w="1150"/>
            <w:tcMar>
              <w:top w:type="dxa" w:w="60"/>
              <w:left w:type="dxa" w:w="100"/>
              <w:bottom w:type="dxa" w:w="60"/>
              <w:right w:type="dxa" w:w="100"/>
            </w:tcMar>
          </w:tcPr>
          <w:p>
            <w:pPr>
              <w:spacing w:after="20" w:line="250"/>
              <w:jc w:val="center"/>
            </w:pPr>
            <w:r>
              <w:rPr>
                <w:b/>
                <w:bCs/>
                <w:color w:val="A6342E"/>
                <w:sz w:val="19"/>
                <w:szCs w:val="19"/>
              </w:rPr>
              <w:t xml:space="preserve">F1</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SCC-23</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Lead-intake → contacts</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Uppdatera routes/leads.ts att upserta en contact istället för endast activity. Behåll activity-loggen som event.</w:t>
            </w:r>
          </w:p>
        </w:tc>
        <w:tc>
          <w:tcPr>
            <w:tcW w:type="dxa" w:w="1150"/>
            <w:tcMar>
              <w:top w:type="dxa" w:w="60"/>
              <w:left w:type="dxa" w:w="100"/>
              <w:bottom w:type="dxa" w:w="60"/>
              <w:right w:type="dxa" w:w="100"/>
            </w:tcMar>
          </w:tcPr>
          <w:p>
            <w:pPr>
              <w:spacing w:after="20" w:line="250"/>
              <w:jc w:val="center"/>
            </w:pPr>
            <w:r>
              <w:rPr>
                <w:b/>
                <w:bCs/>
                <w:color w:val="A6342E"/>
                <w:sz w:val="19"/>
                <w:szCs w:val="19"/>
              </w:rPr>
              <w:t xml:space="preserve">F1</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SCC-24</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Pipelines &amp; opportunities</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Tabeller pipelines, stages, opportunities. Ny route routes/pipelines.ts (CRUD + move-stage). Auth via befintlig middleware.</w:t>
            </w:r>
          </w:p>
        </w:tc>
        <w:tc>
          <w:tcPr>
            <w:tcW w:type="dxa" w:w="1150"/>
            <w:tcMar>
              <w:top w:type="dxa" w:w="60"/>
              <w:left w:type="dxa" w:w="100"/>
              <w:bottom w:type="dxa" w:w="60"/>
              <w:right w:type="dxa" w:w="100"/>
            </w:tcMar>
          </w:tcPr>
          <w:p>
            <w:pPr>
              <w:spacing w:after="20" w:line="250"/>
              <w:jc w:val="center"/>
            </w:pPr>
            <w:r>
              <w:rPr>
                <w:b/>
                <w:bCs/>
                <w:color w:val="A6342E"/>
                <w:sz w:val="19"/>
                <w:szCs w:val="19"/>
              </w:rPr>
              <w:t xml:space="preserve">F1</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SCC-25</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Kanban-vy frontend</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Ny komponent PipelineBoard.tsx (drag-bara kort). Anropar /api/v1/pipelines. Följ glassmorphism-temat.</w:t>
            </w:r>
          </w:p>
        </w:tc>
        <w:tc>
          <w:tcPr>
            <w:tcW w:type="dxa" w:w="1150"/>
            <w:tcMar>
              <w:top w:type="dxa" w:w="60"/>
              <w:left w:type="dxa" w:w="100"/>
              <w:bottom w:type="dxa" w:w="60"/>
              <w:right w:type="dxa" w:w="100"/>
            </w:tcMar>
          </w:tcPr>
          <w:p>
            <w:pPr>
              <w:spacing w:after="20" w:line="250"/>
              <w:jc w:val="center"/>
            </w:pPr>
            <w:r>
              <w:rPr>
                <w:b/>
                <w:bCs/>
                <w:color w:val="A6342E"/>
                <w:sz w:val="19"/>
                <w:szCs w:val="19"/>
              </w:rPr>
              <w:t xml:space="preserve">F1</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SCC-26</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Unified inbox</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Vy tråd-per-kontakt över messages (alla kanaler). Komponent ConversationInbox.tsx + route-aggregat på messages.</w:t>
            </w:r>
          </w:p>
        </w:tc>
        <w:tc>
          <w:tcPr>
            <w:tcW w:type="dxa" w:w="1150"/>
            <w:tcMar>
              <w:top w:type="dxa" w:w="60"/>
              <w:left w:type="dxa" w:w="100"/>
              <w:bottom w:type="dxa" w:w="60"/>
              <w:right w:type="dxa" w:w="100"/>
            </w:tcMar>
          </w:tcPr>
          <w:p>
            <w:pPr>
              <w:spacing w:after="20" w:line="250"/>
              <w:jc w:val="center"/>
            </w:pPr>
            <w:r>
              <w:rPr>
                <w:b/>
                <w:bCs/>
                <w:color w:val="A6342E"/>
                <w:sz w:val="19"/>
                <w:szCs w:val="19"/>
              </w:rPr>
              <w:t xml:space="preserve">F1</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SCC-27</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Master Brain CRM-verktyg</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Lägg till get_contact, list_contacts, move_opportunity, log_interaction i llm/tools.ts + handlers. Följ befintligt ToolResult-mönster.</w:t>
            </w:r>
          </w:p>
        </w:tc>
        <w:tc>
          <w:tcPr>
            <w:tcW w:type="dxa" w:w="1150"/>
            <w:tcMar>
              <w:top w:type="dxa" w:w="60"/>
              <w:left w:type="dxa" w:w="100"/>
              <w:bottom w:type="dxa" w:w="60"/>
              <w:right w:type="dxa" w:w="100"/>
            </w:tcMar>
          </w:tcPr>
          <w:p>
            <w:pPr>
              <w:spacing w:after="20" w:line="250"/>
              <w:jc w:val="center"/>
            </w:pPr>
            <w:r>
              <w:rPr>
                <w:b/>
                <w:bCs/>
                <w:color w:val="A6342E"/>
                <w:sz w:val="19"/>
                <w:szCs w:val="19"/>
              </w:rPr>
              <w:t xml:space="preserve">F1</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SCC-28</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Utgående e-post</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Ny service messaging/email.ts (Resend/Postmark). Route /api/v1/messages/email. Dedikerad domän + SPF/DKIM/DMARC.</w:t>
            </w:r>
          </w:p>
        </w:tc>
        <w:tc>
          <w:tcPr>
            <w:tcW w:type="dxa" w:w="1150"/>
            <w:tcMar>
              <w:top w:type="dxa" w:w="60"/>
              <w:left w:type="dxa" w:w="100"/>
              <w:bottom w:type="dxa" w:w="60"/>
              <w:right w:type="dxa" w:w="100"/>
            </w:tcMar>
          </w:tcPr>
          <w:p>
            <w:pPr>
              <w:spacing w:after="20" w:line="250"/>
              <w:jc w:val="center"/>
            </w:pPr>
            <w:r>
              <w:rPr>
                <w:b/>
                <w:bCs/>
                <w:color w:val="B8860B"/>
                <w:sz w:val="19"/>
                <w:szCs w:val="19"/>
              </w:rPr>
              <w:t xml:space="preserve">F2</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SCC-29</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Utgående SMS</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Service messaging/sms.ts (46elks/Twilio). Route /api/v1/messages/sms. Loggas som message + activity.</w:t>
            </w:r>
          </w:p>
        </w:tc>
        <w:tc>
          <w:tcPr>
            <w:tcW w:type="dxa" w:w="1150"/>
            <w:tcMar>
              <w:top w:type="dxa" w:w="60"/>
              <w:left w:type="dxa" w:w="100"/>
              <w:bottom w:type="dxa" w:w="60"/>
              <w:right w:type="dxa" w:w="100"/>
            </w:tcMar>
          </w:tcPr>
          <w:p>
            <w:pPr>
              <w:spacing w:after="20" w:line="250"/>
              <w:jc w:val="center"/>
            </w:pPr>
            <w:r>
              <w:rPr>
                <w:b/>
                <w:bCs/>
                <w:color w:val="B8860B"/>
                <w:sz w:val="19"/>
                <w:szCs w:val="19"/>
              </w:rPr>
              <w:t xml:space="preserve">F2</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SCC-30</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Kalender &amp; bokning</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Integration mot Cal.com (eller egen slots-tabell). Route routes/calendar.ts med tillgänglighet, buffertar, konflikt.</w:t>
            </w:r>
          </w:p>
        </w:tc>
        <w:tc>
          <w:tcPr>
            <w:tcW w:type="dxa" w:w="1150"/>
            <w:tcMar>
              <w:top w:type="dxa" w:w="60"/>
              <w:left w:type="dxa" w:w="100"/>
              <w:bottom w:type="dxa" w:w="60"/>
              <w:right w:type="dxa" w:w="100"/>
            </w:tcMar>
          </w:tcPr>
          <w:p>
            <w:pPr>
              <w:spacing w:after="20" w:line="250"/>
              <w:jc w:val="center"/>
            </w:pPr>
            <w:r>
              <w:rPr>
                <w:b/>
                <w:bCs/>
                <w:color w:val="B8860B"/>
                <w:sz w:val="19"/>
                <w:szCs w:val="19"/>
              </w:rPr>
              <w:t xml:space="preserve">F2</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SCC-31</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Röst-AI bokar möten</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Utöka voice.ts med book_appointment-verktyg som anropar SCC-30. Stäng inkommande-samtal-loopen.</w:t>
            </w:r>
          </w:p>
        </w:tc>
        <w:tc>
          <w:tcPr>
            <w:tcW w:type="dxa" w:w="1150"/>
            <w:tcMar>
              <w:top w:type="dxa" w:w="60"/>
              <w:left w:type="dxa" w:w="100"/>
              <w:bottom w:type="dxa" w:w="60"/>
              <w:right w:type="dxa" w:w="100"/>
            </w:tcMar>
          </w:tcPr>
          <w:p>
            <w:pPr>
              <w:spacing w:after="20" w:line="250"/>
              <w:jc w:val="center"/>
            </w:pPr>
            <w:r>
              <w:rPr>
                <w:b/>
                <w:bCs/>
                <w:color w:val="B8860B"/>
                <w:sz w:val="19"/>
                <w:szCs w:val="19"/>
              </w:rPr>
              <w:t xml:space="preserve">F2</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SCC-32</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Workflow trigger-katalog</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Formalisera triggers (contact_created, form_submitted, stage_changed, no_reply_timeout) ovanpå eventStream/dispatch.</w:t>
            </w:r>
          </w:p>
        </w:tc>
        <w:tc>
          <w:tcPr>
            <w:tcW w:type="dxa" w:w="1150"/>
            <w:tcMar>
              <w:top w:type="dxa" w:w="60"/>
              <w:left w:type="dxa" w:w="100"/>
              <w:bottom w:type="dxa" w:w="60"/>
              <w:right w:type="dxa" w:w="100"/>
            </w:tcMar>
          </w:tcPr>
          <w:p>
            <w:pPr>
              <w:spacing w:after="20" w:line="250"/>
              <w:jc w:val="center"/>
            </w:pPr>
            <w:r>
              <w:rPr>
                <w:b/>
                <w:bCs/>
                <w:color w:val="1E4E8C"/>
                <w:sz w:val="19"/>
                <w:szCs w:val="19"/>
              </w:rPr>
              <w:t xml:space="preserve">F3</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SCC-33</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Workflow action-katalog</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Actions: send_email, send_sms, dispatch_agent, request_review, move_stage. Agent-action går genom approve-flödet.</w:t>
            </w:r>
          </w:p>
        </w:tc>
        <w:tc>
          <w:tcPr>
            <w:tcW w:type="dxa" w:w="1150"/>
            <w:tcMar>
              <w:top w:type="dxa" w:w="60"/>
              <w:left w:type="dxa" w:w="100"/>
              <w:bottom w:type="dxa" w:w="60"/>
              <w:right w:type="dxa" w:w="100"/>
            </w:tcMar>
          </w:tcPr>
          <w:p>
            <w:pPr>
              <w:spacing w:after="20" w:line="250"/>
              <w:jc w:val="center"/>
            </w:pPr>
            <w:r>
              <w:rPr>
                <w:b/>
                <w:bCs/>
                <w:color w:val="1E4E8C"/>
                <w:sz w:val="19"/>
                <w:szCs w:val="19"/>
              </w:rPr>
              <w:t xml:space="preserve">F3</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SCC-34</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Visuell flödesbyggare</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Frontend WorkflowBuilder.tsx (nod-baserad). Sparar flödesdefinition som JSON; körs av dispatcher.</w:t>
            </w:r>
          </w:p>
        </w:tc>
        <w:tc>
          <w:tcPr>
            <w:tcW w:type="dxa" w:w="1150"/>
            <w:tcMar>
              <w:top w:type="dxa" w:w="60"/>
              <w:left w:type="dxa" w:w="100"/>
              <w:bottom w:type="dxa" w:w="60"/>
              <w:right w:type="dxa" w:w="100"/>
            </w:tcMar>
          </w:tcPr>
          <w:p>
            <w:pPr>
              <w:spacing w:after="20" w:line="250"/>
              <w:jc w:val="center"/>
            </w:pPr>
            <w:r>
              <w:rPr>
                <w:b/>
                <w:bCs/>
                <w:color w:val="1E4E8C"/>
                <w:sz w:val="19"/>
                <w:szCs w:val="19"/>
              </w:rPr>
              <w:t xml:space="preserve">F3</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SCC-35</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Snapshots / mall-deploy</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Exportera/importera en kundinstans (pipelines + workflows + config) som JSON-snapshot. Route routes/snapshots.ts.</w:t>
            </w:r>
          </w:p>
        </w:tc>
        <w:tc>
          <w:tcPr>
            <w:tcW w:type="dxa" w:w="1150"/>
            <w:tcMar>
              <w:top w:type="dxa" w:w="60"/>
              <w:left w:type="dxa" w:w="100"/>
              <w:bottom w:type="dxa" w:w="60"/>
              <w:right w:type="dxa" w:w="100"/>
            </w:tcMar>
          </w:tcPr>
          <w:p>
            <w:pPr>
              <w:spacing w:after="20" w:line="250"/>
              <w:jc w:val="center"/>
            </w:pPr>
            <w:r>
              <w:rPr>
                <w:b/>
                <w:bCs/>
                <w:color w:val="555555"/>
                <w:sz w:val="19"/>
                <w:szCs w:val="19"/>
              </w:rPr>
              <w:t xml:space="preserve">F4</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SCC-36</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White-label branding</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Per-kund logo/färg/subdomän i customers.config. Frontend läser branding vid inladdning.</w:t>
            </w:r>
          </w:p>
        </w:tc>
        <w:tc>
          <w:tcPr>
            <w:tcW w:type="dxa" w:w="1150"/>
            <w:tcMar>
              <w:top w:type="dxa" w:w="60"/>
              <w:left w:type="dxa" w:w="100"/>
              <w:bottom w:type="dxa" w:w="60"/>
              <w:right w:type="dxa" w:w="100"/>
            </w:tcMar>
          </w:tcPr>
          <w:p>
            <w:pPr>
              <w:spacing w:after="20" w:line="250"/>
              <w:jc w:val="center"/>
            </w:pPr>
            <w:r>
              <w:rPr>
                <w:b/>
                <w:bCs/>
                <w:color w:val="555555"/>
                <w:sz w:val="19"/>
                <w:szCs w:val="19"/>
              </w:rPr>
              <w:t xml:space="preserve">F4</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SCC-37</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Stripe + rebilling</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Stripe-integration. Bygg påslagslogik ovanpå costs/costService: mät förbrukning per kund, debitera med markup.</w:t>
            </w:r>
          </w:p>
        </w:tc>
        <w:tc>
          <w:tcPr>
            <w:tcW w:type="dxa" w:w="1150"/>
            <w:tcMar>
              <w:top w:type="dxa" w:w="60"/>
              <w:left w:type="dxa" w:w="100"/>
              <w:bottom w:type="dxa" w:w="60"/>
              <w:right w:type="dxa" w:w="100"/>
            </w:tcMar>
          </w:tcPr>
          <w:p>
            <w:pPr>
              <w:spacing w:after="20" w:line="250"/>
              <w:jc w:val="center"/>
            </w:pPr>
            <w:r>
              <w:rPr>
                <w:b/>
                <w:bCs/>
                <w:color w:val="555555"/>
                <w:sz w:val="19"/>
                <w:szCs w:val="19"/>
              </w:rPr>
              <w:t xml:space="preserve">F4</w:t>
            </w:r>
          </w:p>
        </w:tc>
      </w:tr>
      <w:tr>
        <w:tc>
          <w:tcPr>
            <w:tcW w:type="dxa" w:w="1050"/>
            <w:shd w:fill="F6F9FC" w:color="auto" w:val="clear"/>
            <w:tcMar>
              <w:top w:type="dxa" w:w="60"/>
              <w:left w:type="dxa" w:w="100"/>
              <w:bottom w:type="dxa" w:w="60"/>
              <w:right w:type="dxa" w:w="100"/>
            </w:tcMar>
          </w:tcPr>
          <w:p>
            <w:pPr>
              <w:spacing w:after="20" w:line="250"/>
              <w:jc w:val="center"/>
            </w:pPr>
            <w:r>
              <w:rPr>
                <w:b/>
                <w:bCs/>
                <w:color w:val="1E4E8C"/>
                <w:sz w:val="19"/>
                <w:szCs w:val="19"/>
              </w:rPr>
              <w:t xml:space="preserve">SCC-38</w:t>
            </w:r>
          </w:p>
        </w:tc>
        <w:tc>
          <w:tcPr>
            <w:tcW w:type="dxa" w:w="3400"/>
            <w:tcMar>
              <w:top w:type="dxa" w:w="60"/>
              <w:left w:type="dxa" w:w="100"/>
              <w:bottom w:type="dxa" w:w="60"/>
              <w:right w:type="dxa" w:w="100"/>
            </w:tcMar>
          </w:tcPr>
          <w:p>
            <w:pPr>
              <w:spacing w:after="20" w:line="250"/>
              <w:jc w:val="left"/>
            </w:pPr>
            <w:r>
              <w:rPr>
                <w:b/>
                <w:bCs/>
                <w:color w:val="222222"/>
                <w:sz w:val="19"/>
                <w:szCs w:val="19"/>
              </w:rPr>
              <w:t xml:space="preserve">Recensioner &amp; fakturor</w:t>
            </w:r>
          </w:p>
        </w:tc>
        <w:tc>
          <w:tcPr>
            <w:tcW w:type="dxa" w:w="3760"/>
            <w:tcMar>
              <w:top w:type="dxa" w:w="60"/>
              <w:left w:type="dxa" w:w="100"/>
              <w:bottom w:type="dxa" w:w="60"/>
              <w:right w:type="dxa" w:w="100"/>
            </w:tcMar>
          </w:tcPr>
          <w:p>
            <w:pPr>
              <w:spacing w:after="20" w:line="250"/>
              <w:jc w:val="left"/>
            </w:pPr>
            <w:r>
              <w:rPr>
                <w:b w:val="false"/>
                <w:bCs w:val="false"/>
                <w:color w:val="222222"/>
                <w:sz w:val="19"/>
                <w:szCs w:val="19"/>
              </w:rPr>
              <w:t xml:space="preserve">request_review-action (Google/Facebook) + fakturagenerering som workflow-action.</w:t>
            </w:r>
          </w:p>
        </w:tc>
        <w:tc>
          <w:tcPr>
            <w:tcW w:type="dxa" w:w="1150"/>
            <w:tcMar>
              <w:top w:type="dxa" w:w="60"/>
              <w:left w:type="dxa" w:w="100"/>
              <w:bottom w:type="dxa" w:w="60"/>
              <w:right w:type="dxa" w:w="100"/>
            </w:tcMar>
          </w:tcPr>
          <w:p>
            <w:pPr>
              <w:spacing w:after="20" w:line="250"/>
              <w:jc w:val="center"/>
            </w:pPr>
            <w:r>
              <w:rPr>
                <w:b/>
                <w:bCs/>
                <w:color w:val="555555"/>
                <w:sz w:val="19"/>
                <w:szCs w:val="19"/>
              </w:rPr>
              <w:t xml:space="preserve">F4</w:t>
            </w:r>
          </w:p>
        </w:tc>
      </w:tr>
    </w:tbl>
    <w:p>
      <w:pPr>
        <w:pStyle w:val="Heading3"/>
        <w:spacing w:after="80" w:before="180"/>
      </w:pPr>
      <w:r>
        <w:rPr>
          <w:b/>
          <w:bCs/>
          <w:color w:val="2E7DD1"/>
          <w:sz w:val="22"/>
          <w:szCs w:val="22"/>
        </w:rPr>
        <w:t xml:space="preserve">Sekvensering &amp; beroenden</w:t>
      </w:r>
    </w:p>
    <w:p>
      <w:pPr>
        <w:pStyle w:val="ListParagraph"/>
        <w:numPr>
          <w:ilvl w:val="0"/>
          <w:numId w:val="3"/>
        </w:numPr>
        <w:spacing w:after="60" w:line="268"/>
      </w:pPr>
      <w:r>
        <w:rPr>
          <w:b/>
          <w:bCs/>
          <w:i w:val="false"/>
          <w:iCs w:val="false"/>
          <w:color w:val="222222"/>
          <w:sz w:val="21"/>
          <w:szCs w:val="21"/>
        </w:rPr>
        <w:t xml:space="preserve">F1 är kritisk väg. </w:t>
      </w:r>
      <w:r>
        <w:rPr>
          <w:b w:val="false"/>
          <w:bCs w:val="false"/>
          <w:i w:val="false"/>
          <w:iCs w:val="false"/>
          <w:color w:val="222222"/>
          <w:sz w:val="21"/>
          <w:szCs w:val="21"/>
        </w:rPr>
        <w:t xml:space="preserve">SCC-22 (contacts) blockerar allt annat — bygg den först. SCC-24 (pipelines) blockerar SCC-25/kanban.</w:t>
      </w:r>
    </w:p>
    <w:p>
      <w:pPr>
        <w:pStyle w:val="ListParagraph"/>
        <w:numPr>
          <w:ilvl w:val="0"/>
          <w:numId w:val="3"/>
        </w:numPr>
        <w:spacing w:after="60" w:line="268"/>
      </w:pPr>
      <w:r>
        <w:rPr>
          <w:b/>
          <w:bCs/>
          <w:i w:val="false"/>
          <w:iCs w:val="false"/>
          <w:color w:val="222222"/>
          <w:sz w:val="21"/>
          <w:szCs w:val="21"/>
        </w:rPr>
        <w:t xml:space="preserve">F2 kräver F1. </w:t>
      </w:r>
      <w:r>
        <w:rPr>
          <w:b w:val="false"/>
          <w:bCs w:val="false"/>
          <w:i w:val="false"/>
          <w:iCs w:val="false"/>
          <w:color w:val="222222"/>
          <w:sz w:val="21"/>
          <w:szCs w:val="21"/>
        </w:rPr>
        <w:t xml:space="preserve">Kanaler och bokning skriver mot contacts. SCC-31 (röst bokar) kräver SCC-30 (kalender).</w:t>
      </w:r>
    </w:p>
    <w:p>
      <w:pPr>
        <w:pStyle w:val="ListParagraph"/>
        <w:numPr>
          <w:ilvl w:val="0"/>
          <w:numId w:val="3"/>
        </w:numPr>
        <w:spacing w:after="60" w:line="268"/>
      </w:pPr>
      <w:r>
        <w:rPr>
          <w:b/>
          <w:bCs/>
          <w:i w:val="false"/>
          <w:iCs w:val="false"/>
          <w:color w:val="222222"/>
          <w:sz w:val="21"/>
          <w:szCs w:val="21"/>
        </w:rPr>
        <w:t xml:space="preserve">F3 kräver F2. </w:t>
      </w:r>
      <w:r>
        <w:rPr>
          <w:b w:val="false"/>
          <w:bCs w:val="false"/>
          <w:i w:val="false"/>
          <w:iCs w:val="false"/>
          <w:color w:val="222222"/>
          <w:sz w:val="21"/>
          <w:szCs w:val="21"/>
        </w:rPr>
        <w:t xml:space="preserve">Action-katalogen (SCC-33) förutsätter att kanalerna finns.</w:t>
      </w:r>
    </w:p>
    <w:p>
      <w:pPr>
        <w:pStyle w:val="ListParagraph"/>
        <w:numPr>
          <w:ilvl w:val="0"/>
          <w:numId w:val="3"/>
        </w:numPr>
        <w:spacing w:after="60" w:line="268"/>
      </w:pPr>
      <w:r>
        <w:rPr>
          <w:b/>
          <w:bCs/>
          <w:i w:val="false"/>
          <w:iCs w:val="false"/>
          <w:color w:val="222222"/>
          <w:sz w:val="21"/>
          <w:szCs w:val="21"/>
        </w:rPr>
        <w:t xml:space="preserve">F4 är affärslager. </w:t>
      </w:r>
      <w:r>
        <w:rPr>
          <w:b w:val="false"/>
          <w:bCs w:val="false"/>
          <w:i w:val="false"/>
          <w:iCs w:val="false"/>
          <w:color w:val="222222"/>
          <w:sz w:val="21"/>
          <w:szCs w:val="21"/>
        </w:rPr>
        <w:t xml:space="preserve">SaaS-mekaniken byggs sist, ovanpå en fungerande kärna. SCC-37 återanvänder costs som redan finns.</w:t>
      </w:r>
    </w:p>
    <w:p>
      <w:pPr>
        <w:pStyle w:val="Heading3"/>
        <w:spacing w:after="80" w:before="180"/>
      </w:pPr>
      <w:r>
        <w:rPr>
          <w:b/>
          <w:bCs/>
          <w:color w:val="2E7DD1"/>
          <w:sz w:val="22"/>
          <w:szCs w:val="22"/>
        </w:rPr>
        <w:t xml:space="preserve">Risker att hantera tidigt</w:t>
      </w:r>
    </w:p>
    <w:p>
      <w:pPr>
        <w:pStyle w:val="ListParagraph"/>
        <w:numPr>
          <w:ilvl w:val="0"/>
          <w:numId w:val="3"/>
        </w:numPr>
        <w:spacing w:after="60" w:line="268"/>
      </w:pPr>
      <w:r>
        <w:rPr>
          <w:b/>
          <w:bCs/>
          <w:i w:val="false"/>
          <w:iCs w:val="false"/>
          <w:color w:val="222222"/>
          <w:sz w:val="21"/>
          <w:szCs w:val="21"/>
        </w:rPr>
        <w:t xml:space="preserve">Inga tester finns i repot. </w:t>
      </w:r>
      <w:r>
        <w:rPr>
          <w:b w:val="false"/>
          <w:bCs w:val="false"/>
          <w:i w:val="false"/>
          <w:iCs w:val="false"/>
          <w:color w:val="222222"/>
          <w:sz w:val="21"/>
          <w:szCs w:val="21"/>
        </w:rPr>
        <w:t xml:space="preserve">Contacts-migreringen (SCC-22/23) rör lead-flödet i produktion. Skriv .test.ts för intake INNAN migrering.</w:t>
      </w:r>
    </w:p>
    <w:p>
      <w:pPr>
        <w:pStyle w:val="ListParagraph"/>
        <w:numPr>
          <w:ilvl w:val="0"/>
          <w:numId w:val="3"/>
        </w:numPr>
        <w:spacing w:after="60" w:line="268"/>
      </w:pPr>
      <w:r>
        <w:rPr>
          <w:b/>
          <w:bCs/>
          <w:i w:val="false"/>
          <w:iCs w:val="false"/>
          <w:color w:val="222222"/>
          <w:sz w:val="21"/>
          <w:szCs w:val="21"/>
        </w:rPr>
        <w:t xml:space="preserve">E-postleverans är GHL:s akilleshäl — gör inte samma misstag. </w:t>
      </w:r>
      <w:r>
        <w:rPr>
          <w:b w:val="false"/>
          <w:bCs w:val="false"/>
          <w:i w:val="false"/>
          <w:iCs w:val="false"/>
          <w:color w:val="222222"/>
          <w:sz w:val="21"/>
          <w:szCs w:val="21"/>
        </w:rPr>
        <w:t xml:space="preserve">Dedikerad domän och korrekt SPF/DKIM/DMARC från dag ett i SCC-28.</w:t>
      </w:r>
    </w:p>
    <w:p>
      <w:pPr>
        <w:pStyle w:val="ListParagraph"/>
        <w:numPr>
          <w:ilvl w:val="0"/>
          <w:numId w:val="3"/>
        </w:numPr>
        <w:spacing w:after="60" w:line="268"/>
      </w:pPr>
      <w:r>
        <w:rPr>
          <w:b/>
          <w:bCs/>
          <w:i w:val="false"/>
          <w:iCs w:val="false"/>
          <w:color w:val="222222"/>
          <w:sz w:val="21"/>
          <w:szCs w:val="21"/>
        </w:rPr>
        <w:t xml:space="preserve">Frontend-token-läckan i CLAUDE.md kvarstår. </w:t>
      </w:r>
      <w:r>
        <w:rPr>
          <w:b w:val="false"/>
          <w:bCs w:val="false"/>
          <w:i w:val="false"/>
          <w:iCs w:val="false"/>
          <w:color w:val="222222"/>
          <w:sz w:val="21"/>
          <w:szCs w:val="21"/>
        </w:rPr>
        <w:t xml:space="preserve">Innan white-label/multi-tenant (F4) måste riktig användarauth på plats — VITE_*_TOKEN i bundlen duger inte för extern kunddata.</w:t>
      </w:r>
    </w:p>
    <w:p>
      <w:pPr>
        <w:pBdr>
          <w:bottom w:val="single" w:color="C9D6E5" w:sz="6"/>
        </w:pBdr>
        <w:spacing w:after="80" w:before="80"/>
      </w:pPr>
    </w:p>
    <w:p>
      <w:pPr>
        <w:spacing w:before="160"/>
      </w:pPr>
      <w:r>
        <w:rPr>
          <w:b/>
          <w:bCs/>
          <w:color w:val="0B1F3A"/>
          <w:sz w:val="22"/>
          <w:szCs w:val="22"/>
        </w:rPr>
        <w:t xml:space="preserve">Källor</w:t>
      </w:r>
    </w:p>
    <w:p>
      <w:pPr>
        <w:spacing w:after="40"/>
      </w:pPr>
      <w:r>
        <w:rPr>
          <w:color w:val="555555"/>
          <w:sz w:val="18"/>
          <w:szCs w:val="18"/>
        </w:rPr>
        <w:t xml:space="preserve">•  GoHighLevel — officiell sajt &amp; prissättning (gohighlevel.com/pricing)</w:t>
      </w:r>
    </w:p>
    <w:p>
      <w:pPr>
        <w:spacing w:after="40"/>
      </w:pPr>
      <w:r>
        <w:rPr>
          <w:color w:val="555555"/>
          <w:sz w:val="18"/>
          <w:szCs w:val="18"/>
        </w:rPr>
        <w:t xml:space="preserve">•  HighLevel Support Portal — Workflows, Triggers, Actions, Conversation AI, Voice AI, SaaS/rebilling (help.gohighlevel.com)</w:t>
      </w:r>
    </w:p>
    <w:p>
      <w:pPr>
        <w:spacing w:after="40"/>
      </w:pPr>
      <w:r>
        <w:rPr>
          <w:color w:val="555555"/>
          <w:sz w:val="18"/>
          <w:szCs w:val="18"/>
        </w:rPr>
        <w:t xml:space="preserve">•  GoHighLevel Features List 2026 (gohighlevel.ai, netpartners.marketing, getautomized.com)</w:t>
      </w:r>
    </w:p>
    <w:p>
      <w:pPr>
        <w:spacing w:after="40"/>
      </w:pPr>
      <w:r>
        <w:rPr>
          <w:color w:val="555555"/>
          <w:sz w:val="18"/>
          <w:szCs w:val="18"/>
        </w:rPr>
        <w:t xml:space="preserve">•  GoHighLevel Voice AI 2026: GPT-5 Mini (gohighlevel.ai/blog/gohighlevel-voice-ai-2026)</w:t>
      </w:r>
    </w:p>
    <w:p>
      <w:pPr>
        <w:spacing w:after="40"/>
      </w:pPr>
      <w:r>
        <w:rPr>
          <w:color w:val="555555"/>
          <w:sz w:val="18"/>
          <w:szCs w:val="18"/>
        </w:rPr>
        <w:t xml:space="preserve">•  SaaS Mode / White-label-guider (rocketlauncher.ai, ghlexperts.com, automationclarityhub.com)</w:t>
      </w:r>
    </w:p>
    <w:p>
      <w:pPr>
        <w:spacing w:after="40"/>
      </w:pPr>
      <w:r>
        <w:rPr>
          <w:color w:val="555555"/>
          <w:sz w:val="18"/>
          <w:szCs w:val="18"/>
        </w:rPr>
        <w:t xml:space="preserve">•  Reviews &amp; limitations 2026 (marketingautomationinsider.com, breakcold.com, G2, ghlexperts.com)</w:t>
      </w:r>
    </w:p>
    <w:p>
      <w:pPr>
        <w:spacing w:after="40"/>
      </w:pPr>
      <w:r>
        <w:rPr>
          <w:color w:val="555555"/>
          <w:sz w:val="18"/>
          <w:szCs w:val="18"/>
        </w:rPr>
        <w:t xml:space="preserve">•  SCC-kodbas: backend/src/routes/, backend/src/llm/, database/schema.sql, frontend/src/components/</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B1F3A"/>
      <w:sz w:val="30"/>
      <w:szCs w:val="30"/>
    </w:rPr>
  </w:style>
  <w:style w:type="paragraph" w:styleId="Heading2">
    <w:name w:val="Heading 2"/>
    <w:basedOn w:val="Normal"/>
    <w:next w:val="Normal"/>
    <w:qFormat/>
    <w:rPr>
      <w:rFonts w:ascii="Calibri" w:cs="Calibri" w:eastAsia="Calibri" w:hAnsi="Calibri"/>
      <w:b/>
      <w:bCs/>
      <w:color w:val="1E4E8C"/>
      <w:sz w:val="25"/>
      <w:szCs w:val="25"/>
    </w:rPr>
  </w:style>
  <w:style w:type="paragraph" w:styleId="Heading3">
    <w:name w:val="Heading 3"/>
    <w:basedOn w:val="Normal"/>
    <w:next w:val="Normal"/>
    <w:qFormat/>
    <w:rPr>
      <w:rFonts w:ascii="Calibri" w:cs="Calibri" w:eastAsia="Calibri" w:hAnsi="Calibri"/>
      <w:b/>
      <w:bCs/>
      <w:color w:val="2E7DD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 High Level — Analys &amp; Implementationsplan</dc:title>
  <dc:creator>Skyland Command Center</dc:creator>
  <cp:lastModifiedBy>Un-named</cp:lastModifiedBy>
  <cp:revision>1</cp:revision>
  <dcterms:created xsi:type="dcterms:W3CDTF">2026-07-11T16:28:03.990Z</dcterms:created>
  <dcterms:modified xsi:type="dcterms:W3CDTF">2026-07-11T16:28:03.991Z</dcterms:modified>
</cp:coreProperties>
</file>

<file path=docProps/custom.xml><?xml version="1.0" encoding="utf-8"?>
<Properties xmlns="http://schemas.openxmlformats.org/officeDocument/2006/custom-properties" xmlns:vt="http://schemas.openxmlformats.org/officeDocument/2006/docPropsVTypes"/>
</file>