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PERSONUPPGIFTSBITRÄDESAVTAL</w:t>
      </w:r>
    </w:p>
    <w:p>
      <w:pPr>
        <w:spacing w:after="60" w:line="280"/>
      </w:pPr>
      <w:r>
        <w:rPr>
          <w:i/>
          <w:iCs/>
          <w:color w:val="595959"/>
          <w:sz w:val="20"/>
          <w:szCs w:val="20"/>
        </w:rPr>
        <w:t xml:space="preserve">Behandling av kunduppgifter vid återaktivering av tidigare kunder</w:t>
      </w:r>
    </w:p>
    <w:p>
      <w:pPr>
        <w:spacing w:after="140" w:line="280"/>
      </w:pPr>
      <w:r>
        <w:rPr>
          <w:color w:val="808080"/>
          <w:sz w:val="18"/>
          <w:szCs w:val="18"/>
        </w:rPr>
        <w:t xml:space="preserve">Upprättat enligt artikel 28.3 i dataskyddsförordningen (EU) 2016/679</w:t>
      </w:r>
    </w:p>
    <w:p>
      <w:pPr>
        <w:pBdr>
          <w:bottom w:val="single" w:color="BFBFBF" w:sz="6"/>
        </w:pBdr>
        <w:spacing w:after="200" w:before="60"/>
      </w:pPr>
      <w:r>
        <w:rPr>
          <w:sz w:val="2"/>
          <w:szCs w:val="2"/>
        </w:rPr>
        <w:t xml:space="preserve"/>
      </w:r>
    </w:p>
    <w:p>
      <w:pPr>
        <w:pStyle w:val="Heading1"/>
        <w:spacing w:after="160" w:before="320"/>
      </w:pPr>
      <w:r>
        <w:rPr>
          <w:b/>
          <w:bCs/>
          <w:sz w:val="26"/>
          <w:szCs w:val="26"/>
        </w:rPr>
        <w:t xml:space="preserve">1. Parterna</w:t>
      </w:r>
    </w:p>
    <w:p>
      <w:pPr>
        <w:spacing w:after="140" w:line="280"/>
      </w:pPr>
      <w:r>
        <w:rPr>
          <w:sz w:val="20"/>
          <w:szCs w:val="20"/>
        </w:rPr>
        <w:t xml:space="preserve">Personuppgiftsansvarig (nedan "Kliniken"):</w:t>
      </w:r>
    </w:p>
    <w:p>
      <w:pPr>
        <w:spacing w:after="140" w:line="280"/>
      </w:pPr>
      <w:r>
        <w:rPr>
          <w:sz w:val="20"/>
          <w:szCs w:val="20"/>
          <w:highlight w:val="yellow"/>
          <w:highlightCs w:val="yellow"/>
        </w:rPr>
        <w:t xml:space="preserve">[Klinikens fullständiga firma] · org.nr [ ] · [adress] · Kontaktperson: [namn, e-post]</w:t>
      </w:r>
    </w:p>
    <w:p>
      <w:pPr>
        <w:spacing w:after="140" w:line="280"/>
      </w:pPr>
      <w:r>
        <w:rPr>
          <w:sz w:val="20"/>
          <w:szCs w:val="20"/>
        </w:rPr>
        <w:t xml:space="preserve">Personuppgiftsbiträde (nedan "Biträdet"):</w:t>
      </w:r>
    </w:p>
    <w:p>
      <w:pPr>
        <w:spacing w:after="140" w:line="280"/>
      </w:pPr>
      <w:r>
        <w:rPr>
          <w:sz w:val="20"/>
          <w:szCs w:val="20"/>
          <w:highlight w:val="yellow"/>
          <w:highlightCs w:val="yellow"/>
        </w:rPr>
        <w:t xml:space="preserve">[Fullständig firma] · org.nr [ ] · [adress] · Kontaktperson: Joakim Landqvist, joakim@skylandai.se</w:t>
      </w:r>
    </w:p>
    <w:p>
      <w:pPr>
        <w:spacing w:after="140" w:line="280"/>
      </w:pPr>
      <w:r>
        <w:rPr>
          <w:sz w:val="20"/>
          <w:szCs w:val="20"/>
        </w:rPr>
        <w:t xml:space="preserve">Avtalet träder i kraft den dag båda parter undertecknat det och gäller så länge Biträdet behandlar personuppgifter för Klinikens räkning.</w:t>
      </w:r>
    </w:p>
    <w:p>
      <w:pPr>
        <w:pStyle w:val="Heading1"/>
        <w:spacing w:after="160" w:before="320"/>
      </w:pPr>
      <w:r>
        <w:rPr>
          <w:b/>
          <w:bCs/>
          <w:sz w:val="26"/>
          <w:szCs w:val="26"/>
        </w:rPr>
        <w:t xml:space="preserve">2. Bakgrund och syfte</w:t>
      </w:r>
    </w:p>
    <w:p>
      <w:pPr>
        <w:spacing w:after="140" w:line="280"/>
      </w:pPr>
      <w:r>
        <w:rPr>
          <w:sz w:val="20"/>
          <w:szCs w:val="20"/>
        </w:rPr>
        <w:t xml:space="preserve">Kliniken har tidigare kunder som inte återkommit. Kliniken lämnar ut ett urval av dessa till Biträdet, som kontaktar dem på Klinikens uppdrag och i Klinikens namn för att erbjuda ny tidsbokning. Bokningar sker i Klinikens eget bokningssystem.</w:t>
      </w:r>
    </w:p>
    <w:p>
      <w:pPr>
        <w:spacing w:after="140" w:line="280"/>
      </w:pPr>
      <w:r>
        <w:rPr>
          <w:sz w:val="20"/>
          <w:szCs w:val="20"/>
        </w:rPr>
        <w:t xml:space="preserve">Kliniken är personuppgiftsansvarig och bestämmer ändamål och medel. Biträdet behandlar uppgifterna enbart för Klinikens räkning och enligt Klinikens dokumenterade instruktioner. Detta avtal utgör den huvudsakliga instruktionen.</w:t>
      </w:r>
    </w:p>
    <w:p>
      <w:pPr>
        <w:pStyle w:val="Heading1"/>
        <w:spacing w:after="160" w:before="320"/>
      </w:pPr>
      <w:r>
        <w:rPr>
          <w:b/>
          <w:bCs/>
          <w:sz w:val="26"/>
          <w:szCs w:val="26"/>
        </w:rPr>
        <w:t xml:space="preserve">3. Behandlingens omfattning</w:t>
      </w:r>
    </w:p>
    <w:p>
      <w:pPr>
        <w:spacing w:after="160" w:line="280"/>
      </w:pPr>
      <w:r>
        <w:rPr>
          <w:sz w:val="20"/>
          <w:szCs w:val="20"/>
        </w:rPr>
        <w:t xml:space="preserve">Följande utgör Klinikens dokumenterade instruktion enligt artikel 28.3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D9D9" w:val="clear"/>
            <w:tcMar>
              <w:top w:type="dxa" w:w="80"/>
              <w:left w:type="dxa" w:w="110"/>
              <w:bottom w:type="dxa" w:w="80"/>
              <w:right w:type="dxa" w:w="110"/>
            </w:tcMar>
          </w:tcPr>
          <w:p>
            <w:pPr>
              <w:spacing w:after="0" w:line="260"/>
            </w:pPr>
            <w:r>
              <w:rPr>
                <w:b/>
                <w:bCs/>
                <w:sz w:val="19"/>
                <w:szCs w:val="19"/>
              </w:rPr>
              <w:t xml:space="preserve">Fråga</w:t>
            </w:r>
          </w:p>
        </w:tc>
        <w:tc>
          <w:tcPr>
            <w:tcW w:type="dxa" w:w="6960"/>
            <w:shd w:fill="D9D9D9" w:val="clear"/>
            <w:tcMar>
              <w:top w:type="dxa" w:w="80"/>
              <w:left w:type="dxa" w:w="110"/>
              <w:bottom w:type="dxa" w:w="80"/>
              <w:right w:type="dxa" w:w="110"/>
            </w:tcMar>
          </w:tcPr>
          <w:p>
            <w:pPr>
              <w:spacing w:after="0" w:line="260"/>
            </w:pPr>
            <w:r>
              <w:rPr>
                <w:b/>
                <w:bCs/>
                <w:sz w:val="19"/>
                <w:szCs w:val="19"/>
              </w:rPr>
              <w:t xml:space="preserve">Vad som gäller</w:t>
            </w:r>
          </w:p>
        </w:tc>
      </w:tr>
      <w:tr>
        <w:trPr>
          <w:tblHeader w:val="false"/>
        </w:trPr>
        <w:tc>
          <w:tcPr>
            <w:tcW w:type="dxa" w:w="2400"/>
            <w:tcMar>
              <w:top w:type="dxa" w:w="80"/>
              <w:left w:type="dxa" w:w="110"/>
              <w:bottom w:type="dxa" w:w="80"/>
              <w:right w:type="dxa" w:w="110"/>
            </w:tcMar>
          </w:tcPr>
          <w:p>
            <w:pPr>
              <w:spacing w:after="0" w:line="260"/>
            </w:pPr>
            <w:r>
              <w:rPr>
                <w:b w:val="false"/>
                <w:bCs w:val="false"/>
                <w:sz w:val="19"/>
                <w:szCs w:val="19"/>
              </w:rPr>
              <w:t xml:space="preserve">Föremål</w:t>
            </w:r>
          </w:p>
        </w:tc>
        <w:tc>
          <w:tcPr>
            <w:tcW w:type="dxa" w:w="6960"/>
            <w:tcMar>
              <w:top w:type="dxa" w:w="80"/>
              <w:left w:type="dxa" w:w="110"/>
              <w:bottom w:type="dxa" w:w="80"/>
              <w:right w:type="dxa" w:w="110"/>
            </w:tcMar>
          </w:tcPr>
          <w:p>
            <w:pPr>
              <w:spacing w:after="0" w:line="260"/>
            </w:pPr>
            <w:r>
              <w:rPr>
                <w:b w:val="false"/>
                <w:bCs w:val="false"/>
                <w:sz w:val="19"/>
                <w:szCs w:val="19"/>
              </w:rPr>
              <w:t xml:space="preserve">Kontakt med Klinikens tidigare kunder i syfte att erbjuda ny tidsbokning</w:t>
            </w:r>
          </w:p>
        </w:tc>
      </w:tr>
      <w:tr>
        <w:trPr>
          <w:tblHeader w:val="false"/>
        </w:trPr>
        <w:tc>
          <w:tcPr>
            <w:tcW w:type="dxa" w:w="2400"/>
            <w:tcMar>
              <w:top w:type="dxa" w:w="80"/>
              <w:left w:type="dxa" w:w="110"/>
              <w:bottom w:type="dxa" w:w="80"/>
              <w:right w:type="dxa" w:w="110"/>
            </w:tcMar>
          </w:tcPr>
          <w:p>
            <w:pPr>
              <w:spacing w:after="0" w:line="260"/>
            </w:pPr>
            <w:r>
              <w:rPr>
                <w:b w:val="false"/>
                <w:bCs w:val="false"/>
                <w:sz w:val="19"/>
                <w:szCs w:val="19"/>
              </w:rPr>
              <w:t xml:space="preserve">Varaktighet</w:t>
            </w:r>
          </w:p>
        </w:tc>
        <w:tc>
          <w:tcPr>
            <w:tcW w:type="dxa" w:w="6960"/>
            <w:tcMar>
              <w:top w:type="dxa" w:w="80"/>
              <w:left w:type="dxa" w:w="110"/>
              <w:bottom w:type="dxa" w:w="80"/>
              <w:right w:type="dxa" w:w="110"/>
            </w:tcMar>
          </w:tcPr>
          <w:p>
            <w:pPr>
              <w:spacing w:after="0" w:line="260"/>
            </w:pPr>
            <w:r>
              <w:rPr>
                <w:b w:val="false"/>
                <w:bCs w:val="false"/>
                <w:sz w:val="19"/>
                <w:szCs w:val="19"/>
              </w:rPr>
              <w:t xml:space="preserve">Per omgång, längst 90 dagar från det att urvalet överlämnats</w:t>
            </w:r>
          </w:p>
        </w:tc>
      </w:tr>
      <w:tr>
        <w:trPr>
          <w:tblHeader w:val="false"/>
        </w:trPr>
        <w:tc>
          <w:tcPr>
            <w:tcW w:type="dxa" w:w="2400"/>
            <w:tcMar>
              <w:top w:type="dxa" w:w="80"/>
              <w:left w:type="dxa" w:w="110"/>
              <w:bottom w:type="dxa" w:w="80"/>
              <w:right w:type="dxa" w:w="110"/>
            </w:tcMar>
          </w:tcPr>
          <w:p>
            <w:pPr>
              <w:spacing w:after="0" w:line="260"/>
            </w:pPr>
            <w:r>
              <w:rPr>
                <w:b w:val="false"/>
                <w:bCs w:val="false"/>
                <w:sz w:val="19"/>
                <w:szCs w:val="19"/>
              </w:rPr>
              <w:t xml:space="preserve">Art av behandling</w:t>
            </w:r>
          </w:p>
        </w:tc>
        <w:tc>
          <w:tcPr>
            <w:tcW w:type="dxa" w:w="6960"/>
            <w:tcMar>
              <w:top w:type="dxa" w:w="80"/>
              <w:left w:type="dxa" w:w="110"/>
              <w:bottom w:type="dxa" w:w="80"/>
              <w:right w:type="dxa" w:w="110"/>
            </w:tcMar>
          </w:tcPr>
          <w:p>
            <w:pPr>
              <w:spacing w:after="0" w:line="260"/>
            </w:pPr>
            <w:r>
              <w:rPr>
                <w:b w:val="false"/>
                <w:bCs w:val="false"/>
                <w:sz w:val="19"/>
                <w:szCs w:val="19"/>
              </w:rPr>
              <w:t xml:space="preserve">Insamling, lagring, sammanställning, utskick, radering</w:t>
            </w:r>
          </w:p>
        </w:tc>
      </w:tr>
      <w:tr>
        <w:trPr>
          <w:tblHeader w:val="false"/>
        </w:trPr>
        <w:tc>
          <w:tcPr>
            <w:tcW w:type="dxa" w:w="2400"/>
            <w:tcMar>
              <w:top w:type="dxa" w:w="80"/>
              <w:left w:type="dxa" w:w="110"/>
              <w:bottom w:type="dxa" w:w="80"/>
              <w:right w:type="dxa" w:w="110"/>
            </w:tcMar>
          </w:tcPr>
          <w:p>
            <w:pPr>
              <w:spacing w:after="0" w:line="260"/>
            </w:pPr>
            <w:r>
              <w:rPr>
                <w:b w:val="false"/>
                <w:bCs w:val="false"/>
                <w:sz w:val="19"/>
                <w:szCs w:val="19"/>
              </w:rPr>
              <w:t xml:space="preserve">Ändamål</w:t>
            </w:r>
          </w:p>
        </w:tc>
        <w:tc>
          <w:tcPr>
            <w:tcW w:type="dxa" w:w="6960"/>
            <w:tcMar>
              <w:top w:type="dxa" w:w="80"/>
              <w:left w:type="dxa" w:w="110"/>
              <w:bottom w:type="dxa" w:w="80"/>
              <w:right w:type="dxa" w:w="110"/>
            </w:tcMar>
          </w:tcPr>
          <w:p>
            <w:pPr>
              <w:spacing w:after="0" w:line="260"/>
            </w:pPr>
            <w:r>
              <w:rPr>
                <w:b w:val="false"/>
                <w:bCs w:val="false"/>
                <w:sz w:val="19"/>
                <w:szCs w:val="19"/>
              </w:rPr>
              <w:t xml:space="preserve">Återaktivering av vilande kundrelationer i Klinikens namn</w:t>
            </w:r>
          </w:p>
        </w:tc>
      </w:tr>
      <w:tr>
        <w:trPr>
          <w:tblHeader w:val="false"/>
        </w:trPr>
        <w:tc>
          <w:tcPr>
            <w:tcW w:type="dxa" w:w="2400"/>
            <w:tcMar>
              <w:top w:type="dxa" w:w="80"/>
              <w:left w:type="dxa" w:w="110"/>
              <w:bottom w:type="dxa" w:w="80"/>
              <w:right w:type="dxa" w:w="110"/>
            </w:tcMar>
          </w:tcPr>
          <w:p>
            <w:pPr>
              <w:spacing w:after="0" w:line="260"/>
            </w:pPr>
            <w:r>
              <w:rPr>
                <w:b w:val="false"/>
                <w:bCs w:val="false"/>
                <w:sz w:val="19"/>
                <w:szCs w:val="19"/>
              </w:rPr>
              <w:t xml:space="preserve">Kategorier av registrerade</w:t>
            </w:r>
          </w:p>
        </w:tc>
        <w:tc>
          <w:tcPr>
            <w:tcW w:type="dxa" w:w="6960"/>
            <w:tcMar>
              <w:top w:type="dxa" w:w="80"/>
              <w:left w:type="dxa" w:w="110"/>
              <w:bottom w:type="dxa" w:w="80"/>
              <w:right w:type="dxa" w:w="110"/>
            </w:tcMar>
          </w:tcPr>
          <w:p>
            <w:pPr>
              <w:spacing w:after="0" w:line="260"/>
            </w:pPr>
            <w:r>
              <w:rPr>
                <w:b w:val="false"/>
                <w:bCs w:val="false"/>
                <w:sz w:val="19"/>
                <w:szCs w:val="19"/>
              </w:rPr>
              <w:t xml:space="preserve">Fysiska personer som är eller varit kunder hos Kliniken</w:t>
            </w:r>
          </w:p>
        </w:tc>
      </w:tr>
      <w:tr>
        <w:trPr>
          <w:tblHeader w:val="false"/>
        </w:trPr>
        <w:tc>
          <w:tcPr>
            <w:tcW w:type="dxa" w:w="2400"/>
            <w:tcMar>
              <w:top w:type="dxa" w:w="80"/>
              <w:left w:type="dxa" w:w="110"/>
              <w:bottom w:type="dxa" w:w="80"/>
              <w:right w:type="dxa" w:w="110"/>
            </w:tcMar>
          </w:tcPr>
          <w:p>
            <w:pPr>
              <w:spacing w:after="0" w:line="260"/>
            </w:pPr>
            <w:r>
              <w:rPr>
                <w:b w:val="false"/>
                <w:bCs w:val="false"/>
                <w:sz w:val="19"/>
                <w:szCs w:val="19"/>
              </w:rPr>
              <w:t xml:space="preserve">Typer av uppgifter</w:t>
            </w:r>
          </w:p>
        </w:tc>
        <w:tc>
          <w:tcPr>
            <w:tcW w:type="dxa" w:w="6960"/>
            <w:tcMar>
              <w:top w:type="dxa" w:w="80"/>
              <w:left w:type="dxa" w:w="110"/>
              <w:bottom w:type="dxa" w:w="80"/>
              <w:right w:type="dxa" w:w="110"/>
            </w:tcMar>
          </w:tcPr>
          <w:p>
            <w:pPr>
              <w:spacing w:after="0" w:line="260"/>
            </w:pPr>
            <w:r>
              <w:rPr>
                <w:b w:val="false"/>
                <w:bCs w:val="false"/>
                <w:sz w:val="19"/>
                <w:szCs w:val="19"/>
              </w:rPr>
              <w:t xml:space="preserve">Namn, e-postadress, mobilnummer, datum för senaste besök</w:t>
            </w:r>
          </w:p>
        </w:tc>
      </w:tr>
    </w:tbl>
    <w:p>
      <w:pPr>
        <w:pBdr>
          <w:top w:val="single" w:color="BFBFBF" w:sz="4"/>
          <w:bottom w:val="single" w:color="BFBFBF" w:sz="4"/>
          <w:left w:val="single" w:color="BFBFBF" w:sz="4"/>
          <w:right w:val="single" w:color="BFBFBF" w:sz="4"/>
        </w:pBdr>
        <w:shd w:fill="F2F2F2" w:val="clear"/>
        <w:spacing w:after="140" w:before="200" w:line="280"/>
      </w:pPr>
      <w:r>
        <w:rPr>
          <w:b/>
          <w:bCs/>
          <w:sz w:val="20"/>
          <w:szCs w:val="20"/>
        </w:rPr>
        <w:t xml:space="preserve">Kliniken lämnar INTE ut uppgift om behandlingstyp, diagnos, journalanteckning, bilder eller annan uppgift om hälsa. Sådana uppgifter är känsliga personuppgifter enligt artikel 9 och omfattas inte av detta avtal. Överlämnas de av misstag raderar Biträdet dem omgående och underrättar Kliniken.</w:t>
      </w:r>
    </w:p>
    <w:p>
      <w:pPr>
        <w:pStyle w:val="Heading1"/>
        <w:spacing w:after="160" w:before="320"/>
      </w:pPr>
      <w:r>
        <w:rPr>
          <w:b/>
          <w:bCs/>
          <w:sz w:val="26"/>
          <w:szCs w:val="26"/>
        </w:rPr>
        <w:t xml:space="preserve">4. Biträdets åtaganden</w:t>
      </w:r>
    </w:p>
    <w:p>
      <w:pPr>
        <w:pStyle w:val="Heading2"/>
        <w:spacing w:after="120" w:before="240"/>
      </w:pPr>
      <w:r>
        <w:rPr>
          <w:b/>
          <w:bCs/>
          <w:sz w:val="22"/>
          <w:szCs w:val="22"/>
        </w:rPr>
        <w:t xml:space="preserve">4.1 Instruktioner</w:t>
      </w:r>
    </w:p>
    <w:p>
      <w:pPr>
        <w:pStyle w:val="ListParagraph"/>
        <w:numPr>
          <w:ilvl w:val="0"/>
          <w:numId w:val="2"/>
        </w:numPr>
        <w:spacing w:after="90" w:line="280"/>
      </w:pPr>
      <w:r>
        <w:rPr>
          <w:sz w:val="20"/>
          <w:szCs w:val="20"/>
        </w:rPr>
        <w:t xml:space="preserve">Biträdet behandlar personuppgifter endast enligt Klinikens dokumenterade instruktioner, inklusive vid överföring till tredjeland.</w:t>
      </w:r>
    </w:p>
    <w:p>
      <w:pPr>
        <w:pStyle w:val="ListParagraph"/>
        <w:numPr>
          <w:ilvl w:val="0"/>
          <w:numId w:val="2"/>
        </w:numPr>
        <w:spacing w:after="90" w:line="280"/>
      </w:pPr>
      <w:r>
        <w:rPr>
          <w:sz w:val="20"/>
          <w:szCs w:val="20"/>
        </w:rPr>
        <w:t xml:space="preserve">Biträdet underrättar Kliniken omgående om en instruktion enligt Biträdets uppfattning strider mot dataskyddsförordningen eller annan tillämplig dataskyddsreglering.</w:t>
      </w:r>
    </w:p>
    <w:p>
      <w:pPr>
        <w:pStyle w:val="ListParagraph"/>
        <w:numPr>
          <w:ilvl w:val="0"/>
          <w:numId w:val="2"/>
        </w:numPr>
        <w:spacing w:after="90" w:line="280"/>
      </w:pPr>
      <w:r>
        <w:rPr>
          <w:sz w:val="20"/>
          <w:szCs w:val="20"/>
        </w:rPr>
        <w:t xml:space="preserve">Biträdet behandlar aldrig uppgifterna för egna ändamål, och bygger inte egna register, modeller eller kundlistor av dem.</w:t>
      </w:r>
    </w:p>
    <w:p>
      <w:pPr>
        <w:pStyle w:val="Heading2"/>
        <w:spacing w:after="120" w:before="240"/>
      </w:pPr>
      <w:r>
        <w:rPr>
          <w:b/>
          <w:bCs/>
          <w:sz w:val="22"/>
          <w:szCs w:val="22"/>
        </w:rPr>
        <w:t xml:space="preserve">4.2 Sekretess</w:t>
      </w:r>
    </w:p>
    <w:p>
      <w:pPr>
        <w:pStyle w:val="ListParagraph"/>
        <w:numPr>
          <w:ilvl w:val="0"/>
          <w:numId w:val="2"/>
        </w:numPr>
        <w:spacing w:after="90" w:line="280"/>
      </w:pPr>
      <w:r>
        <w:rPr>
          <w:sz w:val="20"/>
          <w:szCs w:val="20"/>
        </w:rPr>
        <w:t xml:space="preserve">Endast personer som behöver uppgifterna för att utföra uppdraget ges åtkomst, och de är bundna av sekretess.</w:t>
      </w:r>
    </w:p>
    <w:p>
      <w:pPr>
        <w:pStyle w:val="ListParagraph"/>
        <w:numPr>
          <w:ilvl w:val="0"/>
          <w:numId w:val="2"/>
        </w:numPr>
        <w:spacing w:after="90" w:line="280"/>
      </w:pPr>
      <w:r>
        <w:rPr>
          <w:sz w:val="20"/>
          <w:szCs w:val="20"/>
        </w:rPr>
        <w:t xml:space="preserve">Biträdet driver verksamheten som enmansföretag. Tillkommer personal underrättas Kliniken innan åtkomst ges.</w:t>
      </w:r>
    </w:p>
    <w:p>
      <w:pPr>
        <w:pStyle w:val="Heading2"/>
        <w:spacing w:after="120" w:before="240"/>
      </w:pPr>
      <w:r>
        <w:rPr>
          <w:b/>
          <w:bCs/>
          <w:sz w:val="22"/>
          <w:szCs w:val="22"/>
        </w:rPr>
        <w:t xml:space="preserve">4.3 Säkerhet (artikel 32)</w:t>
      </w:r>
    </w:p>
    <w:p>
      <w:pPr>
        <w:pStyle w:val="ListParagraph"/>
        <w:numPr>
          <w:ilvl w:val="0"/>
          <w:numId w:val="2"/>
        </w:numPr>
        <w:spacing w:after="90" w:line="280"/>
      </w:pPr>
      <w:r>
        <w:rPr>
          <w:sz w:val="20"/>
          <w:szCs w:val="20"/>
        </w:rPr>
        <w:t xml:space="preserve">Uppgifterna överförs krypterat och lagras krypterat i vila.</w:t>
      </w:r>
    </w:p>
    <w:p>
      <w:pPr>
        <w:pStyle w:val="ListParagraph"/>
        <w:numPr>
          <w:ilvl w:val="0"/>
          <w:numId w:val="2"/>
        </w:numPr>
        <w:spacing w:after="90" w:line="280"/>
      </w:pPr>
      <w:r>
        <w:rPr>
          <w:sz w:val="20"/>
          <w:szCs w:val="20"/>
        </w:rPr>
        <w:t xml:space="preserve">Åtkomst skyddas med tvåfaktorsautentisering.</w:t>
      </w:r>
    </w:p>
    <w:p>
      <w:pPr>
        <w:pStyle w:val="ListParagraph"/>
        <w:numPr>
          <w:ilvl w:val="0"/>
          <w:numId w:val="2"/>
        </w:numPr>
        <w:spacing w:after="90" w:line="280"/>
      </w:pPr>
      <w:r>
        <w:rPr>
          <w:sz w:val="20"/>
          <w:szCs w:val="20"/>
        </w:rPr>
        <w:t xml:space="preserve">Uppgifterna lagras inte på lokala enheter, USB-minnen eller i e-postbilagor.</w:t>
      </w:r>
    </w:p>
    <w:p>
      <w:pPr>
        <w:pStyle w:val="ListParagraph"/>
        <w:numPr>
          <w:ilvl w:val="0"/>
          <w:numId w:val="2"/>
        </w:numPr>
        <w:spacing w:after="90" w:line="280"/>
      </w:pPr>
      <w:r>
        <w:rPr>
          <w:sz w:val="20"/>
          <w:szCs w:val="20"/>
        </w:rPr>
        <w:t xml:space="preserve">Åtkomst till behandlingen loggas.</w:t>
      </w:r>
    </w:p>
    <w:p>
      <w:pPr>
        <w:pStyle w:val="ListParagraph"/>
        <w:numPr>
          <w:ilvl w:val="0"/>
          <w:numId w:val="2"/>
        </w:numPr>
        <w:spacing w:after="90" w:line="280"/>
      </w:pPr>
      <w:r>
        <w:rPr>
          <w:sz w:val="20"/>
          <w:szCs w:val="20"/>
        </w:rPr>
        <w:t xml:space="preserve">Uppgifterna hålls åtskilda från andra kunders uppgifter.</w:t>
      </w:r>
    </w:p>
    <w:p>
      <w:pPr>
        <w:pStyle w:val="Heading2"/>
        <w:spacing w:after="120" w:before="240"/>
      </w:pPr>
      <w:r>
        <w:rPr>
          <w:b/>
          <w:bCs/>
          <w:sz w:val="22"/>
          <w:szCs w:val="22"/>
        </w:rPr>
        <w:t xml:space="preserve">4.4 Bistånd till Kliniken</w:t>
      </w:r>
    </w:p>
    <w:p>
      <w:pPr>
        <w:pStyle w:val="ListParagraph"/>
        <w:numPr>
          <w:ilvl w:val="0"/>
          <w:numId w:val="2"/>
        </w:numPr>
        <w:spacing w:after="90" w:line="280"/>
      </w:pPr>
      <w:r>
        <w:rPr>
          <w:sz w:val="20"/>
          <w:szCs w:val="20"/>
        </w:rPr>
        <w:t xml:space="preserve">Biträdet bistår Kliniken med att besvara begäran från registrerade om registerutdrag, rättelse, radering, invändning och dataportabilitet.</w:t>
      </w:r>
    </w:p>
    <w:p>
      <w:pPr>
        <w:pStyle w:val="ListParagraph"/>
        <w:numPr>
          <w:ilvl w:val="0"/>
          <w:numId w:val="2"/>
        </w:numPr>
        <w:spacing w:after="90" w:line="280"/>
      </w:pPr>
      <w:r>
        <w:rPr>
          <w:sz w:val="20"/>
          <w:szCs w:val="20"/>
        </w:rPr>
        <w:t xml:space="preserve">Biträdet bistår Kliniken i arbetet med säkerhet, anmälan av personuppgiftsincidenter och konsekvensbedömning enligt artiklarna 32 till 36.</w:t>
      </w:r>
    </w:p>
    <w:p>
      <w:pPr>
        <w:pStyle w:val="ListParagraph"/>
        <w:numPr>
          <w:ilvl w:val="0"/>
          <w:numId w:val="2"/>
        </w:numPr>
        <w:spacing w:after="90" w:line="280"/>
      </w:pPr>
      <w:r>
        <w:rPr>
          <w:sz w:val="20"/>
          <w:szCs w:val="20"/>
        </w:rPr>
        <w:t xml:space="preserve">Begäran som en registrerad riktar direkt till Biträdet vidarebefordras till Kliniken utan onödigt dröjsmål. Biträdet svarar aldrig självständigt.</w:t>
      </w:r>
    </w:p>
    <w:p>
      <w:pPr>
        <w:pStyle w:val="Heading2"/>
        <w:spacing w:after="120" w:before="240"/>
      </w:pPr>
      <w:r>
        <w:rPr>
          <w:b/>
          <w:bCs/>
          <w:sz w:val="22"/>
          <w:szCs w:val="22"/>
        </w:rPr>
        <w:t xml:space="preserve">4.5 Personuppgiftsincident</w:t>
      </w:r>
    </w:p>
    <w:p>
      <w:pPr>
        <w:pStyle w:val="ListParagraph"/>
        <w:numPr>
          <w:ilvl w:val="0"/>
          <w:numId w:val="2"/>
        </w:numPr>
        <w:spacing w:after="90" w:line="280"/>
      </w:pPr>
      <w:r>
        <w:rPr>
          <w:sz w:val="20"/>
          <w:szCs w:val="20"/>
        </w:rPr>
        <w:t xml:space="preserve">Biträdet underrättar Kliniken utan onödigt dröjsmål och senast 24 timmar efter att ha fått kännedom om en personuppgiftsincident.</w:t>
      </w:r>
    </w:p>
    <w:p>
      <w:pPr>
        <w:spacing w:after="140" w:line="280"/>
      </w:pPr>
      <w:r>
        <w:rPr>
          <w:i/>
          <w:iCs/>
          <w:color w:val="595959"/>
          <w:sz w:val="19"/>
          <w:szCs w:val="19"/>
        </w:rPr>
        <w:t xml:space="preserve">Tidsfristen är satt till 24 timmar för att Kliniken ska hinna göra sin egen anmälan till Integritetsskyddsmyndigheten inom 72 timmar enligt artikel 33.</w:t>
      </w:r>
    </w:p>
    <w:p>
      <w:pPr>
        <w:pStyle w:val="ListParagraph"/>
        <w:numPr>
          <w:ilvl w:val="0"/>
          <w:numId w:val="2"/>
        </w:numPr>
        <w:spacing w:after="90" w:line="280"/>
      </w:pPr>
      <w:r>
        <w:rPr>
          <w:sz w:val="20"/>
          <w:szCs w:val="20"/>
        </w:rPr>
        <w:t xml:space="preserve">Underrättelsen innehåller vad som hänt, vilka uppgifter och hur många registrerade som berörs, sannolika följder och vidtagna åtgärder.</w:t>
      </w:r>
    </w:p>
    <w:p>
      <w:pPr>
        <w:pStyle w:val="Heading2"/>
        <w:spacing w:after="120" w:before="240"/>
      </w:pPr>
      <w:r>
        <w:rPr>
          <w:b/>
          <w:bCs/>
          <w:sz w:val="22"/>
          <w:szCs w:val="22"/>
        </w:rPr>
        <w:t xml:space="preserve">4.6 Granskning</w:t>
      </w:r>
    </w:p>
    <w:p>
      <w:pPr>
        <w:pStyle w:val="ListParagraph"/>
        <w:numPr>
          <w:ilvl w:val="0"/>
          <w:numId w:val="2"/>
        </w:numPr>
        <w:spacing w:after="90" w:line="280"/>
      </w:pPr>
      <w:r>
        <w:rPr>
          <w:sz w:val="20"/>
          <w:szCs w:val="20"/>
        </w:rPr>
        <w:t xml:space="preserve">Biträdet ger Kliniken den information som behövs för att visa att skyldigheterna enligt artikel 28 fullgörs.</w:t>
      </w:r>
    </w:p>
    <w:p>
      <w:pPr>
        <w:pStyle w:val="ListParagraph"/>
        <w:numPr>
          <w:ilvl w:val="0"/>
          <w:numId w:val="2"/>
        </w:numPr>
        <w:spacing w:after="90" w:line="280"/>
      </w:pPr>
      <w:r>
        <w:rPr>
          <w:sz w:val="20"/>
          <w:szCs w:val="20"/>
        </w:rPr>
        <w:t xml:space="preserve">Kliniken har rätt att granska behandlingen, själv eller genom oberoende revisor. Granskning aviseras minst 14 dagar i förväg och sker på Klinikens bekostnad, utom när den föranleds av en konstaterad brist hos Biträdet.</w:t>
      </w:r>
    </w:p>
    <w:p>
      <w:pPr>
        <w:pStyle w:val="Heading1"/>
        <w:spacing w:after="160" w:before="320"/>
      </w:pPr>
      <w:r>
        <w:rPr>
          <w:b/>
          <w:bCs/>
          <w:sz w:val="26"/>
          <w:szCs w:val="26"/>
        </w:rPr>
        <w:t xml:space="preserve">5. Underbiträden</w:t>
      </w:r>
    </w:p>
    <w:p>
      <w:pPr>
        <w:spacing w:after="160" w:line="280"/>
      </w:pPr>
      <w:r>
        <w:rPr>
          <w:sz w:val="20"/>
          <w:szCs w:val="20"/>
        </w:rPr>
        <w:t xml:space="preserve">Kliniken godkänner de underbiträden som anges nedan. Biträdet underrättar Kliniken minst 30 dagar innan ett underbiträde byts ut eller läggs till, och Kliniken har rätt att invända.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shd w:fill="D9D9D9" w:val="clear"/>
            <w:tcMar>
              <w:top w:type="dxa" w:w="80"/>
              <w:left w:type="dxa" w:w="110"/>
              <w:bottom w:type="dxa" w:w="80"/>
              <w:right w:type="dxa" w:w="110"/>
            </w:tcMar>
          </w:tcPr>
          <w:p>
            <w:pPr>
              <w:spacing w:after="0" w:line="260"/>
            </w:pPr>
            <w:r>
              <w:rPr>
                <w:b/>
                <w:bCs/>
                <w:sz w:val="19"/>
                <w:szCs w:val="19"/>
              </w:rPr>
              <w:t xml:space="preserve">Underbiträde</w:t>
            </w:r>
          </w:p>
        </w:tc>
        <w:tc>
          <w:tcPr>
            <w:tcW w:type="dxa" w:w="3200"/>
            <w:shd w:fill="D9D9D9" w:val="clear"/>
            <w:tcMar>
              <w:top w:type="dxa" w:w="80"/>
              <w:left w:type="dxa" w:w="110"/>
              <w:bottom w:type="dxa" w:w="80"/>
              <w:right w:type="dxa" w:w="110"/>
            </w:tcMar>
          </w:tcPr>
          <w:p>
            <w:pPr>
              <w:spacing w:after="0" w:line="260"/>
            </w:pPr>
            <w:r>
              <w:rPr>
                <w:b/>
                <w:bCs/>
                <w:sz w:val="19"/>
                <w:szCs w:val="19"/>
              </w:rPr>
              <w:t xml:space="preserve">Roll</w:t>
            </w:r>
          </w:p>
        </w:tc>
        <w:tc>
          <w:tcPr>
            <w:tcW w:type="dxa" w:w="3360"/>
            <w:shd w:fill="D9D9D9" w:val="clear"/>
            <w:tcMar>
              <w:top w:type="dxa" w:w="80"/>
              <w:left w:type="dxa" w:w="110"/>
              <w:bottom w:type="dxa" w:w="80"/>
              <w:right w:type="dxa" w:w="110"/>
            </w:tcMar>
          </w:tcPr>
          <w:p>
            <w:pPr>
              <w:spacing w:after="0" w:line="260"/>
            </w:pPr>
            <w:r>
              <w:rPr>
                <w:b/>
                <w:bCs/>
                <w:sz w:val="19"/>
                <w:szCs w:val="19"/>
              </w:rPr>
              <w:t xml:space="preserve">Plats för behandling</w:t>
            </w:r>
          </w:p>
        </w:tc>
      </w:tr>
      <w:tr>
        <w:trPr>
          <w:tblHeader w:val="false"/>
        </w:trPr>
        <w:tc>
          <w:tcPr>
            <w:tcW w:type="dxa" w:w="2800"/>
            <w:tcMar>
              <w:top w:type="dxa" w:w="80"/>
              <w:left w:type="dxa" w:w="110"/>
              <w:bottom w:type="dxa" w:w="80"/>
              <w:right w:type="dxa" w:w="110"/>
            </w:tcMar>
          </w:tcPr>
          <w:p>
            <w:pPr>
              <w:spacing w:after="0" w:line="260"/>
            </w:pPr>
            <w:r>
              <w:rPr>
                <w:b w:val="false"/>
                <w:bCs w:val="false"/>
                <w:sz w:val="19"/>
                <w:szCs w:val="19"/>
              </w:rPr>
              <w:t xml:space="preserve">Supabase</w:t>
            </w:r>
          </w:p>
        </w:tc>
        <w:tc>
          <w:tcPr>
            <w:tcW w:type="dxa" w:w="3200"/>
            <w:tcMar>
              <w:top w:type="dxa" w:w="80"/>
              <w:left w:type="dxa" w:w="110"/>
              <w:bottom w:type="dxa" w:w="80"/>
              <w:right w:type="dxa" w:w="110"/>
            </w:tcMar>
          </w:tcPr>
          <w:p>
            <w:pPr>
              <w:spacing w:after="0" w:line="260"/>
            </w:pPr>
            <w:r>
              <w:rPr>
                <w:b w:val="false"/>
                <w:bCs w:val="false"/>
                <w:sz w:val="19"/>
                <w:szCs w:val="19"/>
              </w:rPr>
              <w:t xml:space="preserve">Databas där urvalet lagras</w:t>
            </w:r>
          </w:p>
        </w:tc>
        <w:tc>
          <w:tcPr>
            <w:tcW w:type="dxa" w:w="3360"/>
            <w:tcMar>
              <w:top w:type="dxa" w:w="80"/>
              <w:left w:type="dxa" w:w="110"/>
              <w:bottom w:type="dxa" w:w="80"/>
              <w:right w:type="dxa" w:w="110"/>
            </w:tcMar>
          </w:tcPr>
          <w:p>
            <w:pPr>
              <w:spacing w:after="0" w:line="260"/>
            </w:pPr>
            <w:r>
              <w:rPr>
                <w:b w:val="false"/>
                <w:bCs w:val="false"/>
                <w:sz w:val="19"/>
                <w:szCs w:val="19"/>
              </w:rPr>
              <w:t xml:space="preserve">Stockholm, Sverige (eu-north-1)</w:t>
            </w:r>
          </w:p>
        </w:tc>
      </w:tr>
      <w:tr>
        <w:trPr>
          <w:tblHeader w:val="false"/>
        </w:trPr>
        <w:tc>
          <w:tcPr>
            <w:tcW w:type="dxa" w:w="2800"/>
            <w:tcMar>
              <w:top w:type="dxa" w:w="80"/>
              <w:left w:type="dxa" w:w="110"/>
              <w:bottom w:type="dxa" w:w="80"/>
              <w:right w:type="dxa" w:w="110"/>
            </w:tcMar>
          </w:tcPr>
          <w:p>
            <w:pPr>
              <w:spacing w:after="0" w:line="260"/>
            </w:pPr>
            <w:r>
              <w:rPr>
                <w:b w:val="false"/>
                <w:bCs w:val="false"/>
                <w:sz w:val="19"/>
                <w:szCs w:val="19"/>
              </w:rPr>
              <w:t xml:space="preserve">Resend</w:t>
            </w:r>
          </w:p>
        </w:tc>
        <w:tc>
          <w:tcPr>
            <w:tcW w:type="dxa" w:w="3200"/>
            <w:tcMar>
              <w:top w:type="dxa" w:w="80"/>
              <w:left w:type="dxa" w:w="110"/>
              <w:bottom w:type="dxa" w:w="80"/>
              <w:right w:type="dxa" w:w="110"/>
            </w:tcMar>
          </w:tcPr>
          <w:p>
            <w:pPr>
              <w:spacing w:after="0" w:line="260"/>
            </w:pPr>
            <w:r>
              <w:rPr>
                <w:b w:val="false"/>
                <w:bCs w:val="false"/>
                <w:sz w:val="19"/>
                <w:szCs w:val="19"/>
              </w:rPr>
              <w:t xml:space="preserve">Utskick av e-post</w:t>
            </w:r>
          </w:p>
        </w:tc>
        <w:tc>
          <w:tcPr>
            <w:tcW w:type="dxa" w:w="3360"/>
            <w:tcMar>
              <w:top w:type="dxa" w:w="80"/>
              <w:left w:type="dxa" w:w="110"/>
              <w:bottom w:type="dxa" w:w="80"/>
              <w:right w:type="dxa" w:w="110"/>
            </w:tcMar>
          </w:tcPr>
          <w:p>
            <w:pPr>
              <w:spacing w:after="0" w:line="260"/>
            </w:pPr>
            <w:r>
              <w:rPr>
                <w:b w:val="false"/>
                <w:bCs w:val="false"/>
                <w:sz w:val="19"/>
                <w:szCs w:val="19"/>
              </w:rPr>
              <w:t xml:space="preserve">Irland (eu-west-1)</w:t>
            </w:r>
          </w:p>
        </w:tc>
      </w:tr>
      <w:tr>
        <w:trPr>
          <w:tblHeader w:val="false"/>
        </w:trPr>
        <w:tc>
          <w:tcPr>
            <w:tcW w:type="dxa" w:w="2800"/>
            <w:tcMar>
              <w:top w:type="dxa" w:w="80"/>
              <w:left w:type="dxa" w:w="110"/>
              <w:bottom w:type="dxa" w:w="80"/>
              <w:right w:type="dxa" w:w="110"/>
            </w:tcMar>
          </w:tcPr>
          <w:p>
            <w:pPr>
              <w:spacing w:after="0" w:line="260"/>
            </w:pPr>
            <w:r>
              <w:rPr>
                <w:b w:val="false"/>
                <w:bCs w:val="false"/>
                <w:sz w:val="19"/>
                <w:szCs w:val="19"/>
              </w:rPr>
              <w:t xml:space="preserve">Hetzner</w:t>
            </w:r>
          </w:p>
        </w:tc>
        <w:tc>
          <w:tcPr>
            <w:tcW w:type="dxa" w:w="3200"/>
            <w:tcMar>
              <w:top w:type="dxa" w:w="80"/>
              <w:left w:type="dxa" w:w="110"/>
              <w:bottom w:type="dxa" w:w="80"/>
              <w:right w:type="dxa" w:w="110"/>
            </w:tcMar>
          </w:tcPr>
          <w:p>
            <w:pPr>
              <w:spacing w:after="0" w:line="260"/>
            </w:pPr>
            <w:r>
              <w:rPr>
                <w:b w:val="false"/>
                <w:bCs w:val="false"/>
                <w:sz w:val="19"/>
                <w:szCs w:val="19"/>
              </w:rPr>
              <w:t xml:space="preserve">Server som kör bearbetningen</w:t>
            </w:r>
          </w:p>
        </w:tc>
        <w:tc>
          <w:tcPr>
            <w:tcW w:type="dxa" w:w="3360"/>
            <w:tcMar>
              <w:top w:type="dxa" w:w="80"/>
              <w:left w:type="dxa" w:w="110"/>
              <w:bottom w:type="dxa" w:w="80"/>
              <w:right w:type="dxa" w:w="110"/>
            </w:tcMar>
          </w:tcPr>
          <w:p>
            <w:pPr>
              <w:spacing w:after="0" w:line="260"/>
            </w:pPr>
            <w:r>
              <w:rPr>
                <w:b w:val="false"/>
                <w:bCs w:val="false"/>
                <w:sz w:val="19"/>
                <w:szCs w:val="19"/>
              </w:rPr>
              <w:t xml:space="preserve">EU — bekräfta ort</w:t>
            </w:r>
          </w:p>
        </w:tc>
      </w:tr>
      <w:tr>
        <w:trPr>
          <w:tblHeader w:val="false"/>
        </w:trPr>
        <w:tc>
          <w:tcPr>
            <w:tcW w:type="dxa" w:w="2800"/>
            <w:tcMar>
              <w:top w:type="dxa" w:w="80"/>
              <w:left w:type="dxa" w:w="110"/>
              <w:bottom w:type="dxa" w:w="80"/>
              <w:right w:type="dxa" w:w="110"/>
            </w:tcMar>
          </w:tcPr>
          <w:p>
            <w:pPr>
              <w:spacing w:after="0" w:line="260"/>
            </w:pPr>
            <w:r>
              <w:rPr>
                <w:b w:val="false"/>
                <w:bCs w:val="false"/>
                <w:sz w:val="19"/>
                <w:szCs w:val="19"/>
              </w:rPr>
              <w:t xml:space="preserve">[Hostingleverantör för backend]</w:t>
            </w:r>
          </w:p>
        </w:tc>
        <w:tc>
          <w:tcPr>
            <w:tcW w:type="dxa" w:w="3200"/>
            <w:tcMar>
              <w:top w:type="dxa" w:w="80"/>
              <w:left w:type="dxa" w:w="110"/>
              <w:bottom w:type="dxa" w:w="80"/>
              <w:right w:type="dxa" w:w="110"/>
            </w:tcMar>
          </w:tcPr>
          <w:p>
            <w:pPr>
              <w:spacing w:after="0" w:line="260"/>
            </w:pPr>
            <w:r>
              <w:rPr>
                <w:b w:val="false"/>
                <w:bCs w:val="false"/>
                <w:sz w:val="19"/>
                <w:szCs w:val="19"/>
              </w:rPr>
              <w:t xml:space="preserve">Drift av applikationen</w:t>
            </w:r>
          </w:p>
        </w:tc>
        <w:tc>
          <w:tcPr>
            <w:tcW w:type="dxa" w:w="3360"/>
            <w:tcMar>
              <w:top w:type="dxa" w:w="80"/>
              <w:left w:type="dxa" w:w="110"/>
              <w:bottom w:type="dxa" w:w="80"/>
              <w:right w:type="dxa" w:w="110"/>
            </w:tcMar>
          </w:tcPr>
          <w:p>
            <w:pPr>
              <w:spacing w:after="0" w:line="260"/>
            </w:pPr>
            <w:r>
              <w:rPr>
                <w:b w:val="false"/>
                <w:bCs w:val="false"/>
                <w:sz w:val="19"/>
                <w:szCs w:val="19"/>
              </w:rPr>
              <w:t xml:space="preserve">[region — bekräfta]</w:t>
            </w:r>
          </w:p>
        </w:tc>
      </w:tr>
    </w:tbl>
    <w:p>
      <w:pPr>
        <w:spacing w:after="140" w:line="280"/>
      </w:pPr>
      <w:r>
        <w:rPr>
          <w:b/>
          <w:bCs/>
          <w:sz w:val="20"/>
          <w:szCs w:val="20"/>
        </w:rPr>
        <w:t xml:space="preserve">Samtliga underbiträden behandlar uppgifterna inom EU/EES. Ingen överföring till tredjeland sker.</w:t>
      </w:r>
    </w:p>
    <w:p>
      <w:pPr>
        <w:spacing w:after="140" w:line="280"/>
      </w:pPr>
      <w:r>
        <w:rPr>
          <w:b/>
          <w:bCs/>
          <w:sz w:val="20"/>
          <w:szCs w:val="20"/>
        </w:rPr>
        <w:t xml:space="preserve">Uppgifter om Klinikens kunder skickas inte till någon tjänst för språkmodeller eller annan automatiserad textgenerering. Meddelandetexterna skapas i förväg utifrån uppgifter om Kliniken som verksamhet, och mottagarens namn infogas först vid utskicket.</w:t>
      </w:r>
    </w:p>
    <w:p>
      <w:pPr>
        <w:pStyle w:val="Heading1"/>
        <w:spacing w:after="160" w:before="320"/>
      </w:pPr>
      <w:r>
        <w:rPr>
          <w:b/>
          <w:bCs/>
          <w:sz w:val="26"/>
          <w:szCs w:val="26"/>
        </w:rPr>
        <w:t xml:space="preserve">6. Radering och återlämnande</w:t>
      </w:r>
    </w:p>
    <w:p>
      <w:pPr>
        <w:pStyle w:val="ListParagraph"/>
        <w:numPr>
          <w:ilvl w:val="0"/>
          <w:numId w:val="2"/>
        </w:numPr>
        <w:spacing w:after="90" w:line="280"/>
      </w:pPr>
      <w:r>
        <w:rPr>
          <w:sz w:val="20"/>
          <w:szCs w:val="20"/>
        </w:rPr>
        <w:t xml:space="preserve">Uppgifterna raderas senast 30 dagar efter att en omgång avslutats, eller tidigare om Kliniken begär det.</w:t>
      </w:r>
    </w:p>
    <w:p>
      <w:pPr>
        <w:pStyle w:val="ListParagraph"/>
        <w:numPr>
          <w:ilvl w:val="0"/>
          <w:numId w:val="2"/>
        </w:numPr>
        <w:spacing w:after="90" w:line="280"/>
      </w:pPr>
      <w:r>
        <w:rPr>
          <w:sz w:val="20"/>
          <w:szCs w:val="20"/>
        </w:rPr>
        <w:t xml:space="preserve">Vid avtalets upphörande raderas samtliga uppgifter, inklusive säkerhetskopior, inom 30 dagar. Kliniken kan i stället begära att de återlämnas.</w:t>
      </w:r>
    </w:p>
    <w:p>
      <w:pPr>
        <w:pStyle w:val="ListParagraph"/>
        <w:numPr>
          <w:ilvl w:val="0"/>
          <w:numId w:val="2"/>
        </w:numPr>
        <w:spacing w:after="90" w:line="280"/>
      </w:pPr>
      <w:r>
        <w:rPr>
          <w:sz w:val="20"/>
          <w:szCs w:val="20"/>
        </w:rPr>
        <w:t xml:space="preserve">Biträdet lämnar skriftlig bekräftelse på att radering skett.</w:t>
      </w:r>
    </w:p>
    <w:p>
      <w:pPr>
        <w:pStyle w:val="ListParagraph"/>
        <w:numPr>
          <w:ilvl w:val="0"/>
          <w:numId w:val="2"/>
        </w:numPr>
        <w:spacing w:after="90" w:line="280"/>
      </w:pPr>
      <w:r>
        <w:rPr>
          <w:sz w:val="20"/>
          <w:szCs w:val="20"/>
        </w:rPr>
        <w:t xml:space="preserve">Uppgifter som Biträdet enligt lag måste behålla omfattas inte, och Biträdet anger i så fall vilka och på vilken grund.</w:t>
      </w:r>
    </w:p>
    <w:p>
      <w:pPr>
        <w:pStyle w:val="Heading1"/>
        <w:spacing w:after="160" w:before="320"/>
      </w:pPr>
      <w:r>
        <w:rPr>
          <w:b/>
          <w:bCs/>
          <w:sz w:val="26"/>
          <w:szCs w:val="26"/>
        </w:rPr>
        <w:t xml:space="preserve">7. Ansvar</w:t>
      </w:r>
    </w:p>
    <w:p>
      <w:pPr>
        <w:spacing w:after="140" w:line="280"/>
      </w:pPr>
      <w:r>
        <w:rPr>
          <w:sz w:val="20"/>
          <w:szCs w:val="20"/>
        </w:rPr>
        <w:t xml:space="preserve">Vardera part ansvarar för skada som orsakats av att den egna parten brutit mot dataskyddsförordningen eller detta avtal. Har en part betalat full ersättning till en registrerad har den rätt att kräva den andra parten på dess andel enligt artikel 82.5.</w:t>
      </w:r>
    </w:p>
    <w:p>
      <w:pPr>
        <w:spacing w:after="140" w:line="280"/>
      </w:pPr>
      <w:r>
        <w:rPr>
          <w:sz w:val="20"/>
          <w:szCs w:val="20"/>
          <w:highlight w:val="yellow"/>
          <w:highlightCs w:val="yellow"/>
        </w:rPr>
        <w:t xml:space="preserve">[Ansvarsbegränsning — beloppstak och undantag fylls i efter avstämning med jurist]</w:t>
      </w:r>
    </w:p>
    <w:p>
      <w:pPr>
        <w:pStyle w:val="Heading1"/>
        <w:spacing w:after="160" w:before="320"/>
      </w:pPr>
      <w:r>
        <w:rPr>
          <w:b/>
          <w:bCs/>
          <w:sz w:val="26"/>
          <w:szCs w:val="26"/>
        </w:rPr>
        <w:t xml:space="preserve">8. Klinikens ansvar</w:t>
      </w:r>
    </w:p>
    <w:p>
      <w:pPr>
        <w:spacing w:after="160" w:line="280"/>
      </w:pPr>
      <w:r>
        <w:rPr>
          <w:sz w:val="20"/>
          <w:szCs w:val="20"/>
        </w:rPr>
        <w:t xml:space="preserve">Kliniken ansvarar för att det finns rättslig grund för behandlingen och för att kunderna informerats enligt artiklarna 13 och 14. Kliniken ansvarar också för att urvalet endast innehåller kunder som får kontaktas.</w:t>
      </w:r>
    </w:p>
    <w:p>
      <w:pPr>
        <w:pBdr>
          <w:top w:val="single" w:color="BFBFBF" w:sz="4"/>
          <w:bottom w:val="single" w:color="BFBFBF" w:sz="4"/>
          <w:left w:val="single" w:color="BFBFBF" w:sz="4"/>
          <w:right w:val="single" w:color="BFBFBF" w:sz="4"/>
        </w:pBdr>
        <w:shd w:fill="F2F2F2" w:val="clear"/>
        <w:spacing w:after="140" w:line="280"/>
      </w:pPr>
      <w:r>
        <w:rPr>
          <w:sz w:val="20"/>
          <w:szCs w:val="20"/>
        </w:rPr>
        <w:t xml:space="preserve">Marknadsföring via e-post till fysiska personer kräver enligt 19 § marknadsföringslagen samtycke, med undantag för befintliga kundförhållanden när erbjudandet avser liknande varor eller tjänster. Varje utskick ska ange avsändaren och ge mottagaren en enkel möjlighet att avböja fortsatta utskick. Biträdet ser till att varje meddelande uppfyller detta. Kliniken ansvarar för att urvalet endast innehåller sådana befintliga kunder, och att ingen som tidigare avböjt tas med.</w:t>
      </w:r>
    </w:p>
    <w:p>
      <w:pPr>
        <w:pStyle w:val="Heading1"/>
        <w:spacing w:after="160" w:before="320"/>
      </w:pPr>
      <w:r>
        <w:rPr>
          <w:b/>
          <w:bCs/>
          <w:sz w:val="26"/>
          <w:szCs w:val="26"/>
        </w:rPr>
        <w:t xml:space="preserve">9. Ändringar och tillämplig lag</w:t>
      </w:r>
    </w:p>
    <w:p>
      <w:pPr>
        <w:pStyle w:val="ListParagraph"/>
        <w:numPr>
          <w:ilvl w:val="0"/>
          <w:numId w:val="2"/>
        </w:numPr>
        <w:spacing w:after="90" w:line="280"/>
      </w:pPr>
      <w:r>
        <w:rPr>
          <w:sz w:val="20"/>
          <w:szCs w:val="20"/>
        </w:rPr>
        <w:t xml:space="preserve">Ändringar ska vara skriftliga och undertecknas av båda parter.</w:t>
      </w:r>
    </w:p>
    <w:p>
      <w:pPr>
        <w:pStyle w:val="ListParagraph"/>
        <w:numPr>
          <w:ilvl w:val="0"/>
          <w:numId w:val="2"/>
        </w:numPr>
        <w:spacing w:after="90" w:line="280"/>
      </w:pPr>
      <w:r>
        <w:rPr>
          <w:sz w:val="20"/>
          <w:szCs w:val="20"/>
        </w:rPr>
        <w:t xml:space="preserve">Svensk lag tillämpas. Tvist avgörs av svensk allmän domstol med Göteborgs tingsrätt som första instans.</w:t>
      </w:r>
    </w:p>
    <w:p>
      <w:pPr>
        <w:pStyle w:val="ListParagraph"/>
        <w:numPr>
          <w:ilvl w:val="0"/>
          <w:numId w:val="2"/>
        </w:numPr>
        <w:spacing w:after="90" w:line="280"/>
      </w:pPr>
      <w:r>
        <w:rPr>
          <w:sz w:val="20"/>
          <w:szCs w:val="20"/>
        </w:rPr>
        <w:t xml:space="preserve">Vid konflikt mellan detta avtal och övriga avtal mellan parterna gäller detta avtal i frågor om personuppgifter.</w:t>
      </w:r>
    </w:p>
    <w:p>
      <w:pPr>
        <w:pStyle w:val="Heading1"/>
        <w:spacing w:after="160" w:before="320"/>
      </w:pPr>
      <w:r>
        <w:rPr>
          <w:b/>
          <w:bCs/>
          <w:sz w:val="26"/>
          <w:szCs w:val="26"/>
        </w:rPr>
        <w:t xml:space="preserve">10. Underskrifter</w:t>
      </w:r>
    </w:p>
    <w:p>
      <w:pPr>
        <w:spacing w:after="260" w:line="280"/>
      </w:pPr>
      <w:r>
        <w:rPr>
          <w:sz w:val="20"/>
          <w:szCs w:val="20"/>
        </w:rPr>
        <w:t xml:space="preserve">Avtalet har upprättats i två exemplar, ett till vardera 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D9D9" w:val="clear"/>
            <w:tcMar>
              <w:top w:type="dxa" w:w="80"/>
              <w:left w:type="dxa" w:w="110"/>
              <w:bottom w:type="dxa" w:w="80"/>
              <w:right w:type="dxa" w:w="110"/>
            </w:tcMar>
          </w:tcPr>
          <w:p>
            <w:pPr>
              <w:spacing w:after="0" w:line="260"/>
            </w:pPr>
            <w:r>
              <w:rPr>
                <w:b/>
                <w:bCs/>
                <w:sz w:val="19"/>
                <w:szCs w:val="19"/>
              </w:rPr>
              <w:t xml:space="preserve">Kliniken</w:t>
            </w:r>
          </w:p>
        </w:tc>
        <w:tc>
          <w:tcPr>
            <w:tcW w:type="dxa" w:w="4680"/>
            <w:shd w:fill="D9D9D9" w:val="clear"/>
            <w:tcMar>
              <w:top w:type="dxa" w:w="80"/>
              <w:left w:type="dxa" w:w="110"/>
              <w:bottom w:type="dxa" w:w="80"/>
              <w:right w:type="dxa" w:w="110"/>
            </w:tcMar>
          </w:tcPr>
          <w:p>
            <w:pPr>
              <w:spacing w:after="0" w:line="260"/>
            </w:pPr>
            <w:r>
              <w:rPr>
                <w:b/>
                <w:bCs/>
                <w:sz w:val="19"/>
                <w:szCs w:val="19"/>
              </w:rPr>
              <w:t xml:space="preserve">Biträdet</w:t>
            </w:r>
          </w:p>
        </w:tc>
      </w:tr>
      <w:tr>
        <w:trPr>
          <w:tblHeader w:val="false"/>
        </w:trPr>
        <w:tc>
          <w:tcPr>
            <w:tcW w:type="dxa" w:w="4680"/>
            <w:tcMar>
              <w:top w:type="dxa" w:w="80"/>
              <w:left w:type="dxa" w:w="110"/>
              <w:bottom w:type="dxa" w:w="80"/>
              <w:right w:type="dxa" w:w="110"/>
            </w:tcMar>
          </w:tcPr>
          <w:p>
            <w:pPr>
              <w:spacing w:after="0" w:line="260"/>
            </w:pPr>
            <w:r>
              <w:rPr>
                <w:b w:val="false"/>
                <w:bCs w:val="false"/>
                <w:sz w:val="19"/>
                <w:szCs w:val="19"/>
              </w:rPr>
              <w:t xml:space="preserve">Ort och datum: </w:t>
            </w:r>
          </w:p>
        </w:tc>
        <w:tc>
          <w:tcPr>
            <w:tcW w:type="dxa" w:w="4680"/>
            <w:tcMar>
              <w:top w:type="dxa" w:w="80"/>
              <w:left w:type="dxa" w:w="110"/>
              <w:bottom w:type="dxa" w:w="80"/>
              <w:right w:type="dxa" w:w="110"/>
            </w:tcMar>
          </w:tcPr>
          <w:p>
            <w:pPr>
              <w:spacing w:after="0" w:line="260"/>
            </w:pPr>
            <w:r>
              <w:rPr>
                <w:b w:val="false"/>
                <w:bCs w:val="false"/>
                <w:sz w:val="19"/>
                <w:szCs w:val="19"/>
              </w:rPr>
              <w:t xml:space="preserve">Ort och datum: </w:t>
            </w:r>
          </w:p>
        </w:tc>
      </w:tr>
      <w:tr>
        <w:trPr>
          <w:tblHeader w:val="false"/>
        </w:trPr>
        <w:tc>
          <w:tcPr>
            <w:tcW w:type="dxa" w:w="4680"/>
            <w:tcMar>
              <w:top w:type="dxa" w:w="80"/>
              <w:left w:type="dxa" w:w="110"/>
              <w:bottom w:type="dxa" w:w="80"/>
              <w:right w:type="dxa" w:w="110"/>
            </w:tcMar>
          </w:tcPr>
          <w:p>
            <w:pPr>
              <w:spacing w:after="0" w:line="260"/>
            </w:pPr>
            <w:r>
              <w:rPr>
                <w:b w:val="false"/>
                <w:bCs w:val="false"/>
                <w:sz w:val="19"/>
                <w:szCs w:val="19"/>
              </w:rPr>
              <w:t xml:space="preserve"> </w:t>
            </w:r>
          </w:p>
        </w:tc>
        <w:tc>
          <w:tcPr>
            <w:tcW w:type="dxa" w:w="4680"/>
            <w:tcMar>
              <w:top w:type="dxa" w:w="80"/>
              <w:left w:type="dxa" w:w="110"/>
              <w:bottom w:type="dxa" w:w="80"/>
              <w:right w:type="dxa" w:w="110"/>
            </w:tcMar>
          </w:tcPr>
          <w:p>
            <w:pPr>
              <w:spacing w:after="0" w:line="260"/>
            </w:pPr>
            <w:r>
              <w:rPr>
                <w:b w:val="false"/>
                <w:bCs w:val="false"/>
                <w:sz w:val="19"/>
                <w:szCs w:val="19"/>
              </w:rPr>
              <w:t xml:space="preserve"> </w:t>
            </w:r>
          </w:p>
        </w:tc>
      </w:tr>
      <w:tr>
        <w:trPr>
          <w:tblHeader w:val="false"/>
        </w:trPr>
        <w:tc>
          <w:tcPr>
            <w:tcW w:type="dxa" w:w="4680"/>
            <w:tcMar>
              <w:top w:type="dxa" w:w="80"/>
              <w:left w:type="dxa" w:w="110"/>
              <w:bottom w:type="dxa" w:w="80"/>
              <w:right w:type="dxa" w:w="110"/>
            </w:tcMar>
          </w:tcPr>
          <w:p>
            <w:pPr>
              <w:spacing w:after="0" w:line="260"/>
            </w:pPr>
            <w:r>
              <w:rPr>
                <w:b w:val="false"/>
                <w:bCs w:val="false"/>
                <w:sz w:val="19"/>
                <w:szCs w:val="19"/>
              </w:rPr>
              <w:t xml:space="preserve">Underskrift: </w:t>
            </w:r>
          </w:p>
        </w:tc>
        <w:tc>
          <w:tcPr>
            <w:tcW w:type="dxa" w:w="4680"/>
            <w:tcMar>
              <w:top w:type="dxa" w:w="80"/>
              <w:left w:type="dxa" w:w="110"/>
              <w:bottom w:type="dxa" w:w="80"/>
              <w:right w:type="dxa" w:w="110"/>
            </w:tcMar>
          </w:tcPr>
          <w:p>
            <w:pPr>
              <w:spacing w:after="0" w:line="260"/>
            </w:pPr>
            <w:r>
              <w:rPr>
                <w:b w:val="false"/>
                <w:bCs w:val="false"/>
                <w:sz w:val="19"/>
                <w:szCs w:val="19"/>
              </w:rPr>
              <w:t xml:space="preserve">Underskrift: </w:t>
            </w:r>
          </w:p>
        </w:tc>
      </w:tr>
      <w:tr>
        <w:trPr>
          <w:tblHeader w:val="false"/>
        </w:trPr>
        <w:tc>
          <w:tcPr>
            <w:tcW w:type="dxa" w:w="4680"/>
            <w:tcMar>
              <w:top w:type="dxa" w:w="80"/>
              <w:left w:type="dxa" w:w="110"/>
              <w:bottom w:type="dxa" w:w="80"/>
              <w:right w:type="dxa" w:w="110"/>
            </w:tcMar>
          </w:tcPr>
          <w:p>
            <w:pPr>
              <w:spacing w:after="0" w:line="260"/>
            </w:pPr>
            <w:r>
              <w:rPr>
                <w:b w:val="false"/>
                <w:bCs w:val="false"/>
                <w:sz w:val="19"/>
                <w:szCs w:val="19"/>
              </w:rPr>
              <w:t xml:space="preserve"> </w:t>
            </w:r>
          </w:p>
        </w:tc>
        <w:tc>
          <w:tcPr>
            <w:tcW w:type="dxa" w:w="4680"/>
            <w:tcMar>
              <w:top w:type="dxa" w:w="80"/>
              <w:left w:type="dxa" w:w="110"/>
              <w:bottom w:type="dxa" w:w="80"/>
              <w:right w:type="dxa" w:w="110"/>
            </w:tcMar>
          </w:tcPr>
          <w:p>
            <w:pPr>
              <w:spacing w:after="0" w:line="260"/>
            </w:pPr>
            <w:r>
              <w:rPr>
                <w:b w:val="false"/>
                <w:bCs w:val="false"/>
                <w:sz w:val="19"/>
                <w:szCs w:val="19"/>
              </w:rPr>
              <w:t xml:space="preserve"> </w:t>
            </w:r>
          </w:p>
        </w:tc>
      </w:tr>
      <w:tr>
        <w:trPr>
          <w:tblHeader w:val="false"/>
        </w:trPr>
        <w:tc>
          <w:tcPr>
            <w:tcW w:type="dxa" w:w="4680"/>
            <w:tcMar>
              <w:top w:type="dxa" w:w="80"/>
              <w:left w:type="dxa" w:w="110"/>
              <w:bottom w:type="dxa" w:w="80"/>
              <w:right w:type="dxa" w:w="110"/>
            </w:tcMar>
          </w:tcPr>
          <w:p>
            <w:pPr>
              <w:spacing w:after="0" w:line="260"/>
            </w:pPr>
            <w:r>
              <w:rPr>
                <w:b w:val="false"/>
                <w:bCs w:val="false"/>
                <w:sz w:val="19"/>
                <w:szCs w:val="19"/>
              </w:rPr>
              <w:t xml:space="preserve">Namnförtydligande: </w:t>
            </w:r>
          </w:p>
        </w:tc>
        <w:tc>
          <w:tcPr>
            <w:tcW w:type="dxa" w:w="4680"/>
            <w:tcMar>
              <w:top w:type="dxa" w:w="80"/>
              <w:left w:type="dxa" w:w="110"/>
              <w:bottom w:type="dxa" w:w="80"/>
              <w:right w:type="dxa" w:w="110"/>
            </w:tcMar>
          </w:tcPr>
          <w:p>
            <w:pPr>
              <w:spacing w:after="0" w:line="260"/>
            </w:pPr>
            <w:r>
              <w:rPr>
                <w:b w:val="false"/>
                <w:bCs w:val="false"/>
                <w:sz w:val="19"/>
                <w:szCs w:val="19"/>
              </w:rPr>
              <w:t xml:space="preserve">Namnförtydligande: Joakim Landqvist</w:t>
            </w:r>
          </w:p>
        </w:tc>
      </w:tr>
    </w:tbl>
    <w:p>
      <w:pPr>
        <w:spacing w:before="360"/>
      </w:pPr>
      <w:r>
        <w:t xml:space="preserve"/>
      </w:r>
    </w:p>
    <w:p>
      <w:pPr>
        <w:pBdr>
          <w:bottom w:val="single" w:color="BFBFBF" w:sz="6"/>
        </w:pBdr>
        <w:spacing w:after="200" w:before="60"/>
      </w:pPr>
      <w:r>
        <w:rPr>
          <w:sz w:val="2"/>
          <w:szCs w:val="2"/>
        </w:rPr>
        <w:t xml:space="preserve"/>
      </w:r>
    </w:p>
    <w:p>
      <w:pPr>
        <w:spacing w:after="140" w:line="280"/>
      </w:pPr>
      <w:r>
        <w:rPr>
          <w:i/>
          <w:iCs/>
          <w:color w:val="808080"/>
          <w:sz w:val="18"/>
          <w:szCs w:val="18"/>
        </w:rPr>
        <w:t xml:space="preserve">Utkast. Gult markerar fält som måste fyllas i före användning. Avtalet är inte granskat av jurist.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Sida </w:t>
      <w:fldChar w:fldCharType="begin"/>
      <w:instrText xml:space="preserve">PAGE</w:instrText>
      <w:fldChar w:fldCharType="separate"/>
      <w:fldChar w:fldCharType="end"/>
      <w:t xml:space="preserve"> av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Personuppgiftsbiträdesavtal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2026-09-13T17:08:32.229Z</dcterms:created>
  <dcterms:modified xsi:type="dcterms:W3CDTF">2026-09-13T17:08:32.246Z</dcterms:modified>
</cp:coreProperties>
</file>

<file path=docProps/custom.xml><?xml version="1.0" encoding="utf-8"?>
<Properties xmlns="http://schemas.openxmlformats.org/officeDocument/2006/custom-properties" xmlns:vt="http://schemas.openxmlformats.org/officeDocument/2006/docPropsVTypes"/>
</file>