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eader"/>
    <w:bookmarkEnd w:id="9"/>
    <w:bookmarkStart w:id="21" w:name="content"/>
    <w:bookmarkStart w:id="20" w:name="开物脉络天工开物杯项目执行计划与技术设计文档"/>
    <w:p>
      <w:pPr>
        <w:pStyle w:val="Heading1"/>
      </w:pPr>
      <w:r>
        <w:rPr>
          <w:rFonts w:hint="eastAsia"/>
        </w:rPr>
        <w:t xml:space="preserve">《开物脉络》天工开物杯项目执行计划与技术设计文档</w:t>
      </w:r>
    </w:p>
    <w:bookmarkStart w:id="11" w:name="word-文件"/>
    <w:p>
      <w:pPr>
        <w:pStyle w:val="Heading2"/>
      </w:pPr>
      <w:r>
        <w:t xml:space="preserve">Word </w:t>
      </w:r>
      <w:r>
        <w:rPr>
          <w:rFonts w:hint="eastAsia"/>
        </w:rPr>
        <w:t xml:space="preserve">文件</w:t>
      </w:r>
    </w:p>
    <w:p>
      <w:pPr>
        <w:pStyle w:val="FirstParagraph"/>
      </w:pPr>
      <w:r>
        <w:rPr>
          <w:rFonts w:hint="eastAsia"/>
        </w:rPr>
        <w:t xml:space="preserve">已完成并整理为</w:t>
      </w:r>
      <w:r>
        <w:t xml:space="preserve"> </w:t>
      </w:r>
      <w:r>
        <w:rPr>
          <w:b/>
          <w:bCs/>
        </w:rPr>
        <w:t xml:space="preserve">A4、12 </w:t>
      </w:r>
      <w:r>
        <w:rPr>
          <w:rFonts w:hint="eastAsia"/>
          <w:b/>
          <w:bCs/>
        </w:rPr>
        <w:t xml:space="preserve">页的正式</w:t>
      </w:r>
      <w:r>
        <w:rPr>
          <w:b/>
          <w:bCs/>
        </w:rPr>
        <w:t xml:space="preserve"> Word </w:t>
      </w:r>
      <w:r>
        <w:rPr>
          <w:rFonts w:hint="eastAsia"/>
          <w:b/>
          <w:bCs/>
        </w:rPr>
        <w:t xml:space="preserve">文档</w:t>
      </w:r>
      <w:r>
        <w:rPr>
          <w:rFonts w:hint="eastAsia"/>
        </w:rPr>
        <w:t xml:space="preserve">，已包含执行摘要、项目定位、四日冲刺计划、MVP、A/B</w:t>
      </w:r>
      <w:r>
        <w:t xml:space="preserve"> </w:t>
      </w:r>
      <w:r>
        <w:rPr>
          <w:rFonts w:hint="eastAsia"/>
        </w:rPr>
        <w:t xml:space="preserve">测试、技术架构、Mermaid</w:t>
      </w:r>
      <w:r>
        <w:t xml:space="preserve"> </w:t>
      </w:r>
      <w:r>
        <w:rPr>
          <w:rFonts w:hint="eastAsia"/>
        </w:rPr>
        <w:t xml:space="preserve">源码、新余地方证据、风险控制、五张</w:t>
      </w:r>
      <w:r>
        <w:t xml:space="preserve"> A3 </w:t>
      </w:r>
      <w:r>
        <w:rPr>
          <w:rFonts w:hint="eastAsia"/>
        </w:rPr>
        <w:t xml:space="preserve">信息架构、投稿检查表和参考文献。</w:t>
      </w:r>
    </w:p>
    <w:p>
      <w:pPr>
        <w:pStyle w:val="BodyText"/>
      </w:pPr>
      <w:hyperlink r:id="rId10">
        <w:r>
          <w:rPr>
            <w:rStyle w:val="Hyperlink"/>
            <w:rFonts w:hint="eastAsia"/>
            <w:b/>
            <w:bCs/>
          </w:rPr>
          <w:t xml:space="preserve">下载</w:t>
        </w:r>
        <w:r>
          <w:rPr>
            <w:rStyle w:val="Hyperlink"/>
            <w:b/>
            <w:bCs/>
          </w:rPr>
          <w:t xml:space="preserve"> </w:t>
        </w:r>
        <w:r>
          <w:rPr>
            <w:rStyle w:val="Hyperlink"/>
            <w:rFonts w:hint="eastAsia"/>
            <w:b/>
            <w:bCs/>
          </w:rPr>
          <w:t xml:space="preserve">Word：开物脉络_天工开物杯_项目执行计划与技术设计文档_V1.0.docx</w:t>
        </w:r>
      </w:hyperlink>
    </w:p>
    <w:bookmarkEnd w:id="11"/>
    <w:bookmarkStart w:id="17" w:name="文档中的核心判断"/>
    <w:p>
      <w:pPr>
        <w:pStyle w:val="Heading2"/>
      </w:pPr>
      <w:r>
        <w:rPr>
          <w:rFonts w:hint="eastAsia"/>
        </w:rPr>
        <w:t xml:space="preserve">文档中的核心判断</w:t>
      </w:r>
    </w:p>
    <w:p>
      <w:pPr>
        <w:pStyle w:val="FirstParagraph"/>
      </w:pPr>
      <w:r>
        <w:rPr>
          <w:rFonts w:hint="eastAsia"/>
        </w:rPr>
        <w:t xml:space="preserve">项目最终明确归入</w:t>
      </w:r>
      <w:r>
        <w:t xml:space="preserve"> </w:t>
      </w:r>
      <w:r>
        <w:rPr>
          <w:rFonts w:hint="eastAsia"/>
          <w:b/>
          <w:bCs/>
        </w:rPr>
        <w:t xml:space="preserve">“数字智能”方向</w:t>
      </w:r>
      <w:r>
        <w:rPr>
          <w:rFonts w:hint="eastAsia"/>
        </w:rPr>
        <w:t xml:space="preserve">。比赛官方把这一方向定义为面向数字交互界面等场景，强调“友好人机交互、数据驱动决策和服务模式创新”；相比之下，我们的核心交付并不是新材料、制造装备或单一文创商品，因此以数字智能参赛最准确。官方投稿截止日为</w:t>
      </w:r>
      <w:r>
        <w:t xml:space="preserve"> </w:t>
      </w:r>
      <w:r>
        <w:rPr>
          <w:b/>
          <w:bCs/>
        </w:rPr>
        <w:t xml:space="preserve">2026 </w:t>
      </w:r>
      <w:r>
        <w:rPr>
          <w:rFonts w:hint="eastAsia"/>
          <w:b/>
          <w:bCs/>
        </w:rPr>
        <w:t xml:space="preserve">年</w:t>
      </w:r>
      <w:r>
        <w:rPr>
          <w:b/>
          <w:bCs/>
        </w:rPr>
        <w:t xml:space="preserve"> 9 </w:t>
      </w:r>
      <w:r>
        <w:rPr>
          <w:rFonts w:hint="eastAsia"/>
          <w:b/>
          <w:bCs/>
        </w:rPr>
        <w:t xml:space="preserve">月</w:t>
      </w:r>
      <w:r>
        <w:rPr>
          <w:b/>
          <w:bCs/>
        </w:rPr>
        <w:t xml:space="preserve"> 22 </w:t>
      </w:r>
      <w:r>
        <w:rPr>
          <w:rFonts w:hint="eastAsia"/>
          <w:b/>
          <w:bCs/>
        </w:rPr>
        <w:t xml:space="preserve">日</w:t>
      </w:r>
      <w:r>
        <w:t xml:space="preserve">。</w:t>
      </w:r>
      <w:hyperlink r:id="rId12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rPr>
          <w:rFonts w:hint="eastAsia"/>
        </w:rPr>
        <w:t xml:space="preserve">文档没有把《开物脉络》继续写成泛化的“AI</w:t>
      </w:r>
      <w:r>
        <w:t xml:space="preserve"> </w:t>
      </w:r>
      <w:r>
        <w:rPr>
          <w:rFonts w:hint="eastAsia"/>
        </w:rPr>
        <w:t xml:space="preserve">智慧文博”。目前冻结的定位是：</w:t>
      </w:r>
    </w:p>
    <w:p>
      <w:pPr>
        <w:pStyle w:val="BlockText"/>
      </w:pPr>
      <w:r>
        <w:rPr>
          <w:rFonts w:hint="eastAsia"/>
          <w:b/>
          <w:bCs/>
        </w:rPr>
        <w:t xml:space="preserve">《开物脉络》——面向工业研学的古今工艺认知导航系统</w:t>
      </w:r>
    </w:p>
    <w:p>
      <w:pPr>
        <w:pStyle w:val="BlockText"/>
      </w:pPr>
      <w:r>
        <w:rPr>
          <w:rFonts w:hint="eastAsia"/>
        </w:rPr>
        <w:t xml:space="preserve">以前台“</w:t>
      </w:r>
      <w:r>
        <w:rPr>
          <w:rFonts w:hint="eastAsia"/>
          <w:b/>
          <w:bCs/>
        </w:rPr>
        <w:t xml:space="preserve">同一道造物问题，古今不同解法</w:t>
      </w:r>
      <w:r>
        <w:rPr>
          <w:rFonts w:hint="eastAsia"/>
        </w:rPr>
        <w:t xml:space="preserve">”的文化互动作为辨识度，以工业工艺因果关系与知识缺口感知作为智能内核，以课程映射、现场观察和研学反馈作为落地价值。</w:t>
      </w:r>
    </w:p>
    <w:p>
      <w:pPr>
        <w:pStyle w:val="FirstParagraph"/>
      </w:pPr>
      <w:r>
        <w:rPr>
          <w:rFonts w:hint="eastAsia"/>
        </w:rPr>
        <w:t xml:space="preserve">这个定位有较强的新余地方依据。新余市博物馆资料显示，凤凰山铁矿遗址为唐至明时期遗址，保留矿石、冶铁炉、铸模等遗迹，可反映从原料采集、燃料选用、铁水冶炼到成品提取的完整工艺；博物馆对其与宋应星在分宜著《天工开物》的关系采用了谨慎的“</w:t>
      </w:r>
      <w:r>
        <w:rPr>
          <w:rFonts w:hint="eastAsia"/>
          <w:b/>
          <w:bCs/>
        </w:rPr>
        <w:t xml:space="preserve">应是……资料来源地</w:t>
      </w:r>
      <w:r>
        <w:rPr>
          <w:rFonts w:hint="eastAsia"/>
        </w:rPr>
        <w:t xml:space="preserve">”表述，文档也严格沿用这一证据边界。</w:t>
      </w:r>
      <w:hyperlink r:id="rId13">
        <w:r>
          <w:rPr>
            <w:rStyle w:val="Hyperlink"/>
          </w:rPr>
          <w:t xml:space="preserve">[2]</w:t>
        </w:r>
      </w:hyperlink>
    </w:p>
    <w:p>
      <w:pPr>
        <w:pStyle w:val="BodyText"/>
      </w:pPr>
      <w:r>
        <w:rPr>
          <w:rFonts w:hint="eastAsia"/>
        </w:rPr>
        <w:t xml:space="preserve">现代侧同样不是硬套场景。新余市工信局</w:t>
      </w:r>
      <w:r>
        <w:t xml:space="preserve"> 2026 </w:t>
      </w:r>
      <w:r>
        <w:rPr>
          <w:rFonts w:hint="eastAsia"/>
        </w:rPr>
        <w:t xml:space="preserve">年资料显示，当地钢铁产业已基本形成“</w:t>
      </w:r>
      <w:r>
        <w:rPr>
          <w:rFonts w:hint="eastAsia"/>
          <w:b/>
          <w:bCs/>
        </w:rPr>
        <w:t xml:space="preserve">铁矿石采选—炼铁—炼钢—轧材—钢材精深加工—钢铁新材料应用</w:t>
      </w:r>
      <w:r>
        <w:rPr>
          <w:rFonts w:hint="eastAsia"/>
        </w:rPr>
        <w:t xml:space="preserve">”的完整产业链；2025</w:t>
      </w:r>
      <w:r>
        <w:t xml:space="preserve"> </w:t>
      </w:r>
      <w:r>
        <w:rPr>
          <w:rFonts w:hint="eastAsia"/>
        </w:rPr>
        <w:t xml:space="preserve">年钢铁产业营收占当地三大主导产业中的</w:t>
      </w:r>
      <w:r>
        <w:t xml:space="preserve"> 42.5%。</w:t>
      </w:r>
      <w:hyperlink r:id="rId14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rPr>
          <w:rFonts w:hint="eastAsia"/>
        </w:rPr>
        <w:t xml:space="preserve">同时，文档专门加入了一个重要的</w:t>
      </w:r>
      <w:r>
        <w:rPr>
          <w:rFonts w:hint="eastAsia"/>
          <w:b/>
          <w:bCs/>
        </w:rPr>
        <w:t xml:space="preserve">反创新判断</w:t>
      </w:r>
      <w:r>
        <w:rPr>
          <w:rFonts w:hint="eastAsia"/>
        </w:rPr>
        <w:t xml:space="preserve">：新钢历史陈列馆本身已经位于高炉生产现场、毗邻高炉智慧集控中心，是“印象新钢”工业旅游路线首站，而且馆内已有大型数字厂区沙盘和《天工开物》冶铁场景还原。也就是说，单纯做“古代冶铁</w:t>
      </w:r>
      <w:r>
        <w:t xml:space="preserve"> ↔ </w:t>
      </w:r>
      <w:r>
        <w:rPr>
          <w:rFonts w:hint="eastAsia"/>
        </w:rPr>
        <w:t xml:space="preserve">现代钢铁”的数字展示不能再声称创新；我们必须进一步把它变成</w:t>
      </w:r>
      <w:r>
        <w:rPr>
          <w:rFonts w:hint="eastAsia"/>
          <w:b/>
          <w:bCs/>
        </w:rPr>
        <w:t xml:space="preserve">可交互、可计算、可验证的古今工艺关系网络</w:t>
      </w:r>
      <w:r>
        <w:t xml:space="preserve">。</w:t>
      </w:r>
      <w:hyperlink r:id="rId15">
        <w:r>
          <w:rPr>
            <w:rStyle w:val="Hyperlink"/>
          </w:rPr>
          <w:t xml:space="preserve">[4]</w:t>
        </w:r>
      </w:hyperlink>
    </w:p>
    <w:p>
      <w:pPr>
        <w:pStyle w:val="BodyText"/>
      </w:pPr>
      <w:r>
        <w:rPr>
          <w:rFonts w:hint="eastAsia"/>
        </w:rPr>
        <w:t xml:space="preserve">国家七部门</w:t>
      </w:r>
      <w:r>
        <w:t xml:space="preserve"> 2026 </w:t>
      </w:r>
      <w:r>
        <w:rPr>
          <w:rFonts w:hint="eastAsia"/>
        </w:rPr>
        <w:t xml:space="preserve">年关于工业文化、工业遗产和工业旅游的政策，也明确支持利用现代工厂、工业遗产、工业博物馆和展示馆开展工业研学，将工业科普、技能体验和文化传承融入研学；同时要求工业旅游建立在安全生产与保密要求之上。这个政策依据直接决定了文档中的架构原则：</w:t>
      </w:r>
      <w:r>
        <w:rPr>
          <w:rFonts w:hint="eastAsia"/>
          <w:b/>
          <w:bCs/>
        </w:rPr>
        <w:t xml:space="preserve">生产现场采用固定安全物理路线，智能系统主要适配观察重点、解释深度和知识补充，而不是让</w:t>
      </w:r>
      <w:r>
        <w:rPr>
          <w:b/>
          <w:bCs/>
        </w:rPr>
        <w:t xml:space="preserve"> AI </w:t>
      </w:r>
      <w:r>
        <w:rPr>
          <w:rFonts w:hint="eastAsia"/>
          <w:b/>
          <w:bCs/>
        </w:rPr>
        <w:t xml:space="preserve">自由规划游客在钢厂里乱走。</w:t>
      </w:r>
      <w:r>
        <w:t xml:space="preserve"> </w:t>
      </w:r>
      <w:hyperlink r:id="rId16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rPr>
          <w:rFonts w:hint="eastAsia"/>
        </w:rPr>
        <w:t xml:space="preserve">此外，用户提供的</w:t>
      </w:r>
      <w:r>
        <w:t xml:space="preserve"> 2026 </w:t>
      </w:r>
      <w:r>
        <w:rPr>
          <w:rFonts w:hint="eastAsia"/>
        </w:rPr>
        <w:t xml:space="preserve">产业赛道企业命题名单被纳入需求侧证据，用于对照“工业旅游研学”“个性化研学”和“智慧博物馆”已经发展到什么程度，从而避免把</w:t>
      </w:r>
      <w:r>
        <w:t xml:space="preserve"> AI </w:t>
      </w:r>
      <w:r>
        <w:rPr>
          <w:rFonts w:hint="eastAsia"/>
        </w:rPr>
        <w:t xml:space="preserve">问答、知识图谱、数字孪生、个性化路线等成熟能力继续包装成核心创新。fileciteturn0file0</w:t>
      </w:r>
    </w:p>
    <w:bookmarkEnd w:id="17"/>
    <w:bookmarkStart w:id="18" w:name="文档已经包含的交付内容"/>
    <w:p>
      <w:pPr>
        <w:pStyle w:val="Heading2"/>
      </w:pPr>
      <w:r>
        <w:rPr>
          <w:rFonts w:hint="eastAsia"/>
        </w:rPr>
        <w:t xml:space="preserve">文档已经包含的交付内容</w:t>
      </w:r>
    </w:p>
    <w:p>
      <w:pPr>
        <w:pStyle w:val="FirstParagraph"/>
      </w:pPr>
      <w:r>
        <w:t xml:space="preserve">Word </w:t>
      </w:r>
      <w:r>
        <w:rPr>
          <w:rFonts w:hint="eastAsia"/>
        </w:rPr>
        <w:t xml:space="preserve">中已经把</w:t>
      </w:r>
      <w:r>
        <w:t xml:space="preserve"> </w:t>
      </w:r>
      <w:r>
        <w:rPr>
          <w:b/>
          <w:bCs/>
        </w:rPr>
        <w:t xml:space="preserve">P0–P7</w:t>
      </w:r>
      <w:r>
        <w:t xml:space="preserve"> </w:t>
      </w:r>
      <w:r>
        <w:rPr>
          <w:rFonts w:hint="eastAsia"/>
        </w:rPr>
        <w:t xml:space="preserve">写成可直接执行的阶段计划，并给出了每一阶段的时间、目标、任务、验收成果和</w:t>
      </w:r>
      <w:r>
        <w:t xml:space="preserve"> </w:t>
      </w:r>
      <w:r>
        <w:rPr>
          <w:rFonts w:hint="eastAsia"/>
        </w:rPr>
        <w:t xml:space="preserve">Gate。关键路径被冻结为：</w:t>
      </w:r>
    </w:p>
    <w:p>
      <w:pPr>
        <w:pStyle w:val="BodyText"/>
      </w:pPr>
      <w:r>
        <w:rPr>
          <w:rFonts w:hint="eastAsia"/>
          <w:b/>
          <w:bCs/>
        </w:rPr>
        <w:t xml:space="preserve">地方证据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产品定义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古今工艺数据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可运行纵线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强基线</w:t>
      </w:r>
      <w:r>
        <w:rPr>
          <w:b/>
          <w:bCs/>
        </w:rPr>
        <w:t xml:space="preserve"> A/B → Demo V2 → </w:t>
      </w:r>
      <w:r>
        <w:rPr>
          <w:rFonts w:hint="eastAsia"/>
          <w:b/>
          <w:bCs/>
        </w:rPr>
        <w:t xml:space="preserve">五张</w:t>
      </w:r>
      <w:r>
        <w:rPr>
          <w:b/>
          <w:bCs/>
        </w:rPr>
        <w:t xml:space="preserve"> A3 → </w:t>
      </w:r>
      <w:r>
        <w:rPr>
          <w:rFonts w:hint="eastAsia"/>
          <w:b/>
          <w:bCs/>
        </w:rPr>
        <w:t xml:space="preserve">海报/说明/提交。</w:t>
      </w:r>
    </w:p>
    <w:p>
      <w:pPr>
        <w:pStyle w:val="BodyText"/>
      </w:pPr>
      <w:r>
        <w:rPr>
          <w:rFonts w:hint="eastAsia"/>
        </w:rPr>
        <w:t xml:space="preserve">技术部分给出了两套图示：一套可直接阅读的架构图，以及一套可复制修改的</w:t>
      </w:r>
      <w:r>
        <w:t xml:space="preserve"> </w:t>
      </w:r>
      <w:r>
        <w:rPr>
          <w:b/>
          <w:bCs/>
        </w:rPr>
        <w:t xml:space="preserve">Mermaid </w:t>
      </w:r>
      <w:r>
        <w:rPr>
          <w:rFonts w:hint="eastAsia"/>
          <w:b/>
          <w:bCs/>
        </w:rPr>
        <w:t xml:space="preserve">系统架构源码</w:t>
      </w:r>
      <w:r>
        <w:rPr>
          <w:rFonts w:hint="eastAsia"/>
        </w:rPr>
        <w:t xml:space="preserve">；项目时间线同样同时提供了甘特式图表与</w:t>
      </w:r>
      <w:r>
        <w:t xml:space="preserve"> </w:t>
      </w:r>
      <w:r>
        <w:rPr>
          <w:b/>
          <w:bCs/>
        </w:rPr>
        <w:t xml:space="preserve">Mermaid Gantt </w:t>
      </w:r>
      <w:r>
        <w:rPr>
          <w:rFonts w:hint="eastAsia"/>
          <w:b/>
          <w:bCs/>
        </w:rPr>
        <w:t xml:space="preserve">源码</w:t>
      </w:r>
      <w:r>
        <w:t xml:space="preserve">。</w:t>
      </w:r>
    </w:p>
    <w:p>
      <w:pPr>
        <w:pStyle w:val="BodyText"/>
      </w:pPr>
      <w:r>
        <w:t xml:space="preserve">MVP </w:t>
      </w:r>
      <w:r>
        <w:rPr>
          <w:rFonts w:hint="eastAsia"/>
        </w:rPr>
        <w:t xml:space="preserve">也被严格限制在一条真实纵线：</w:t>
      </w:r>
      <w:r>
        <w:rPr>
          <w:rFonts w:hint="eastAsia"/>
          <w:b/>
          <w:bCs/>
        </w:rPr>
        <w:t xml:space="preserve">一条新余钢铁工艺链、6–8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个“共同造物问题”、10–15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个古今工艺节点、规则式</w:t>
      </w:r>
      <w:r>
        <w:rPr>
          <w:b/>
          <w:bCs/>
        </w:rPr>
        <w:t xml:space="preserve"> Knowledge-gap Engine、React/TypeScript </w:t>
      </w:r>
      <w:r>
        <w:rPr>
          <w:rFonts w:hint="eastAsia"/>
          <w:b/>
          <w:bCs/>
        </w:rPr>
        <w:t xml:space="preserve">前端、FastAPI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后端、SQLite</w:t>
      </w:r>
      <w:r>
        <w:rPr>
          <w:b/>
          <w:bCs/>
        </w:rPr>
        <w:t xml:space="preserve"> + JSON </w:t>
      </w:r>
      <w:r>
        <w:rPr>
          <w:rFonts w:hint="eastAsia"/>
          <w:b/>
          <w:bCs/>
        </w:rPr>
        <w:t xml:space="preserve">数据层、一页轻量教师/运营复盘端。</w:t>
      </w:r>
      <w:r>
        <w:t xml:space="preserve"> </w:t>
      </w:r>
      <w:r>
        <w:rPr>
          <w:rFonts w:hint="eastAsia"/>
        </w:rPr>
        <w:t xml:space="preserve">文档明确把数字人、复杂</w:t>
      </w:r>
      <w:r>
        <w:t xml:space="preserve"> </w:t>
      </w:r>
      <w:r>
        <w:rPr>
          <w:rFonts w:hint="eastAsia"/>
        </w:rPr>
        <w:t xml:space="preserve">CV、自研大模型、Neo4j、GNN、深度知识追踪、强化学习、完整数字孪生、商城社区等全部列为截止日前的</w:t>
      </w:r>
      <w:r>
        <w:t xml:space="preserve"> </w:t>
      </w:r>
      <w:r>
        <w:rPr>
          <w:b/>
          <w:bCs/>
        </w:rPr>
        <w:t xml:space="preserve">Non-goals</w:t>
      </w:r>
      <w:r>
        <w:t xml:space="preserve">。</w:t>
      </w:r>
    </w:p>
    <w:p>
      <w:pPr>
        <w:pStyle w:val="BodyText"/>
      </w:pPr>
      <w:r>
        <w:t xml:space="preserve">A/B </w:t>
      </w:r>
      <w:r>
        <w:rPr>
          <w:rFonts w:hint="eastAsia"/>
        </w:rPr>
        <w:t xml:space="preserve">方案也不拿“什么都没有”的传统导览当弱对手，而是：</w:t>
      </w:r>
    </w:p>
    <w:p>
      <w:pPr>
        <w:pStyle w:val="BodyText"/>
      </w:pPr>
      <w:r>
        <w:rPr>
          <w:rFonts w:hint="eastAsia"/>
          <w:b/>
          <w:bCs/>
        </w:rPr>
        <w:t xml:space="preserve">A：专家设计的优质固定工艺路线</w:t>
      </w:r>
      <w:r>
        <w:br/>
      </w:r>
      <w:r>
        <w:rPr>
          <w:rFonts w:hint="eastAsia"/>
        </w:rPr>
        <w:t xml:space="preserve">对比</w:t>
      </w:r>
      <w:r>
        <w:br/>
      </w:r>
      <w:r>
        <w:rPr>
          <w:rFonts w:hint="eastAsia"/>
          <w:b/>
          <w:bCs/>
        </w:rPr>
        <w:t xml:space="preserve">B：相同内容质量、近似时间预算下的知识缺口感知版本</w:t>
      </w:r>
    </w:p>
    <w:p>
      <w:pPr>
        <w:pStyle w:val="BodyText"/>
      </w:pPr>
      <w:r>
        <w:rPr>
          <w:rFonts w:hint="eastAsia"/>
        </w:rPr>
        <w:t xml:space="preserve">并测流程结构理解、工艺因果理解、近迁移、时间效率、认知负荷、自主感、完成率以及可选的</w:t>
      </w:r>
      <w:r>
        <w:t xml:space="preserve"> 24 </w:t>
      </w:r>
      <w:r>
        <w:rPr>
          <w:rFonts w:hint="eastAsia"/>
        </w:rPr>
        <w:t xml:space="preserve">小时保持。文档设置了明确的“死亡条件”：如果</w:t>
      </w:r>
      <w:r>
        <w:t xml:space="preserve"> B </w:t>
      </w:r>
      <w:r>
        <w:rPr>
          <w:rFonts w:hint="eastAsia"/>
        </w:rPr>
        <w:t xml:space="preserve">没有表现出合理的理解/效率增益，反而明显更像考试、更烦，就把“实时自适应”从核心卖点降级，而不是为了参赛硬保错误假设。</w:t>
      </w:r>
    </w:p>
    <w:bookmarkEnd w:id="18"/>
    <w:bookmarkStart w:id="19" w:name="投稿前最值得立即执行的事项"/>
    <w:p>
      <w:pPr>
        <w:pStyle w:val="Heading2"/>
      </w:pPr>
      <w:r>
        <w:rPr>
          <w:rFonts w:hint="eastAsia"/>
        </w:rPr>
        <w:t xml:space="preserve">投稿前最值得立即执行的事项</w:t>
      </w:r>
    </w:p>
    <w:p>
      <w:pPr>
        <w:pStyle w:val="FirstParagraph"/>
      </w:pPr>
      <w:r>
        <w:rPr>
          <w:rFonts w:hint="eastAsia"/>
        </w:rPr>
        <w:t xml:space="preserve">官方要求已经完整做成检查表：最多</w:t>
      </w:r>
      <w:r>
        <w:t xml:space="preserve"> </w:t>
      </w:r>
      <w:r>
        <w:rPr>
          <w:b/>
          <w:bCs/>
        </w:rPr>
        <w:t xml:space="preserve">5 </w:t>
      </w:r>
      <w:r>
        <w:rPr>
          <w:rFonts w:hint="eastAsia"/>
          <w:b/>
          <w:bCs/>
        </w:rPr>
        <w:t xml:space="preserve">张</w:t>
      </w:r>
      <w:r>
        <w:rPr>
          <w:b/>
          <w:bCs/>
        </w:rPr>
        <w:t xml:space="preserve"> A3 JPG、300 </w:t>
      </w:r>
      <w:r>
        <w:rPr>
          <w:rFonts w:hint="eastAsia"/>
          <w:b/>
          <w:bCs/>
        </w:rPr>
        <w:t xml:space="preserve">DPI、单张不超过</w:t>
      </w:r>
      <w:r>
        <w:rPr>
          <w:b/>
          <w:bCs/>
        </w:rPr>
        <w:t xml:space="preserve"> 5 MB</w:t>
      </w:r>
      <w:r>
        <w:rPr>
          <w:rFonts w:hint="eastAsia"/>
        </w:rPr>
        <w:t xml:space="preserve">；另交</w:t>
      </w:r>
      <w:r>
        <w:t xml:space="preserve"> 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张竖版</w:t>
      </w:r>
      <w:r>
        <w:rPr>
          <w:b/>
          <w:bCs/>
        </w:rPr>
        <w:t xml:space="preserve"> A3 </w:t>
      </w:r>
      <w:r>
        <w:rPr>
          <w:rFonts w:hint="eastAsia"/>
          <w:b/>
          <w:bCs/>
        </w:rPr>
        <w:t xml:space="preserve">宣传海报</w:t>
      </w:r>
      <w:r>
        <w:rPr>
          <w:rFonts w:hint="eastAsia"/>
        </w:rPr>
        <w:t xml:space="preserve">；设计说明不超过</w:t>
      </w:r>
      <w:r>
        <w:t xml:space="preserve"> </w:t>
      </w:r>
      <w:r>
        <w:rPr>
          <w:b/>
          <w:bCs/>
        </w:rPr>
        <w:t xml:space="preserve">500 </w:t>
      </w:r>
      <w:r>
        <w:rPr>
          <w:rFonts w:hint="eastAsia"/>
          <w:b/>
          <w:bCs/>
        </w:rPr>
        <w:t xml:space="preserve">字</w:t>
      </w:r>
      <w:r>
        <w:rPr>
          <w:rFonts w:hint="eastAsia"/>
        </w:rPr>
        <w:t xml:space="preserve">；宣讲视频为选交，要求</w:t>
      </w:r>
      <w:r>
        <w:t xml:space="preserve"> 1080P、3 </w:t>
      </w:r>
      <w:r>
        <w:rPr>
          <w:rFonts w:hint="eastAsia"/>
        </w:rPr>
        <w:t xml:space="preserve">分钟以内、300</w:t>
      </w:r>
      <w:r>
        <w:t xml:space="preserve"> MB </w:t>
      </w:r>
      <w:r>
        <w:rPr>
          <w:rFonts w:hint="eastAsia"/>
        </w:rPr>
        <w:t xml:space="preserve">以内。更容易被忽略的是，全部物料不得出现学校、作者、指导教师或其他赛事</w:t>
      </w:r>
      <w:r>
        <w:t xml:space="preserve"> </w:t>
      </w:r>
      <w:r>
        <w:rPr>
          <w:rFonts w:hint="eastAsia"/>
        </w:rPr>
        <w:t xml:space="preserve">Logo，否则有明确扣分甚至判无效的风险。</w:t>
      </w:r>
      <w:hyperlink r:id="rId12">
        <w:r>
          <w:rPr>
            <w:rStyle w:val="Hyperlink"/>
          </w:rPr>
          <w:t xml:space="preserve">[6]</w:t>
        </w:r>
      </w:hyperlink>
    </w:p>
    <w:p>
      <w:pPr>
        <w:pStyle w:val="BodyText"/>
      </w:pPr>
      <w:r>
        <w:rPr>
          <w:rFonts w:hint="eastAsia"/>
        </w:rPr>
        <w:t xml:space="preserve">知识产权风险也已经单独列入高等级风险项：官方规则写明，作品不得侵犯第三方权利，并规定</w:t>
      </w:r>
      <w:r>
        <w:rPr>
          <w:rFonts w:hint="eastAsia"/>
          <w:b/>
          <w:bCs/>
        </w:rPr>
        <w:t xml:space="preserve">获奖作品著作权归命题单位，作者保留署名权、展览展示权</w:t>
      </w:r>
      <w:r>
        <w:rPr>
          <w:rFonts w:hint="eastAsia"/>
        </w:rPr>
        <w:t xml:space="preserve">。因此文档建议把比赛版本与现有</w:t>
      </w:r>
      <w:r>
        <w:t xml:space="preserve"> </w:t>
      </w:r>
      <w:r>
        <w:rPr>
          <w:rStyle w:val="VerbatimChar"/>
        </w:rPr>
        <w:t xml:space="preserve">jinyu-demo</w:t>
      </w:r>
      <w:r>
        <w:t xml:space="preserve"> </w:t>
      </w:r>
      <w:r>
        <w:rPr>
          <w:rFonts w:hint="eastAsia"/>
        </w:rPr>
        <w:t xml:space="preserve">主仓库隔离，不原样提交整个既有项目，更不要把未经授权的图片、字体、企业素材混入最终作品。</w:t>
      </w:r>
      <w:hyperlink r:id="rId12">
        <w:r>
          <w:rPr>
            <w:rStyle w:val="Hyperlink"/>
          </w:rPr>
          <w:t xml:space="preserve">[7]</w:t>
        </w:r>
      </w:hyperlink>
    </w:p>
    <w:p>
      <w:pPr>
        <w:pStyle w:val="BodyText"/>
      </w:pPr>
      <w:r>
        <w:rPr>
          <w:rFonts w:hint="eastAsia"/>
        </w:rPr>
        <w:t xml:space="preserve">文档中还已经放入一版可继续压缩润色的</w:t>
      </w:r>
      <w:r>
        <w:t xml:space="preserve"> </w:t>
      </w:r>
      <w:r>
        <w:rPr>
          <w:b/>
          <w:bCs/>
        </w:rPr>
        <w:t xml:space="preserve">≤500 </w:t>
      </w:r>
      <w:r>
        <w:rPr>
          <w:rFonts w:hint="eastAsia"/>
          <w:b/>
          <w:bCs/>
        </w:rPr>
        <w:t xml:space="preserve">字设计说明草案</w:t>
      </w:r>
      <w:r>
        <w:rPr>
          <w:rFonts w:hint="eastAsia"/>
        </w:rPr>
        <w:t xml:space="preserve">，以及五张</w:t>
      </w:r>
      <w:r>
        <w:t xml:space="preserve"> A3 </w:t>
      </w:r>
      <w:r>
        <w:rPr>
          <w:rFonts w:hint="eastAsia"/>
        </w:rPr>
        <w:t xml:space="preserve">的最终信息顺序。其中最优先应该开始制作的是</w:t>
      </w:r>
      <w:r>
        <w:t xml:space="preserve"> </w:t>
      </w:r>
      <w:r>
        <w:rPr>
          <w:rFonts w:hint="eastAsia"/>
          <w:b/>
          <w:bCs/>
        </w:rPr>
        <w:t xml:space="preserve">A3-02《同一道造物问题，古今不同解法》</w:t>
      </w:r>
      <w:r>
        <w:rPr>
          <w:rFonts w:hint="eastAsia"/>
        </w:rPr>
        <w:t xml:space="preserve">——这张板决定整个项目究竟看起来是另一个智慧导览</w:t>
      </w:r>
      <w:r>
        <w:t xml:space="preserve"> </w:t>
      </w:r>
      <w:r>
        <w:rPr>
          <w:rFonts w:hint="eastAsia"/>
        </w:rPr>
        <w:t xml:space="preserve">App，还是一个真正属于“天工开物</w:t>
      </w:r>
      <w:r>
        <w:t xml:space="preserve"> × </w:t>
      </w:r>
      <w:r>
        <w:rPr>
          <w:rFonts w:hint="eastAsia"/>
        </w:rPr>
        <w:t xml:space="preserve">新余钢铁”的设计作品。</w:t>
      </w:r>
    </w:p>
    <w:bookmarkEnd w:id="19"/>
    <w:bookmarkEnd w:id="20"/>
    <w:bookmarkEnd w:id="21"/>
    <w:p>
      <w:r>
        <w:pict>
          <v:rect style="width:0;height:1.5pt" o:hralign="center" o:hrstd="t" o:hr="t"/>
        </w:pict>
      </w:r>
    </w:p>
    <w:bookmarkStart w:id="22" w:name="citations"/>
    <w:p>
      <w:pPr>
        <w:pStyle w:val="FirstParagraph"/>
      </w:pPr>
      <w:hyperlink r:id="rId12">
        <w:r>
          <w:rPr>
            <w:rStyle w:val="Hyperlink"/>
          </w:rPr>
          <w:t xml:space="preserve">[1]</w:t>
        </w:r>
      </w:hyperlink>
      <w:r>
        <w:t xml:space="preserve"> </w:t>
      </w:r>
      <w:hyperlink r:id="rId12">
        <w:r>
          <w:rPr>
            <w:rStyle w:val="Hyperlink"/>
          </w:rPr>
          <w:t xml:space="preserve">[6]</w:t>
        </w:r>
      </w:hyperlink>
      <w:r>
        <w:t xml:space="preserve"> </w:t>
      </w:r>
      <w:hyperlink r:id="rId12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https://www.ncda.org.cn/dsjs/dsnr/mtsd/9B8/</w:t>
      </w:r>
    </w:p>
    <w:p>
      <w:pPr>
        <w:pStyle w:val="BodyText"/>
      </w:pPr>
      <w:hyperlink r:id="rId12">
        <w:r>
          <w:rPr>
            <w:rStyle w:val="Hyperlink"/>
          </w:rPr>
          <w:t xml:space="preserve">https://www.ncda.org.cn/dsjs/dsnr/mtsd/9B8/</w:t>
        </w:r>
      </w:hyperlink>
    </w:p>
    <w:p>
      <w:pPr>
        <w:pStyle w:val="BodyText"/>
      </w:pPr>
      <w:hyperlink r:id="rId13">
        <w:r>
          <w:rPr>
            <w:rStyle w:val="Hyperlink"/>
          </w:rPr>
          <w:t xml:space="preserve">[2]</w:t>
        </w:r>
      </w:hyperlink>
      <w:r>
        <w:t xml:space="preserve"> </w:t>
      </w:r>
      <w:r>
        <w:t xml:space="preserve">https://www.xysmuseum.com/587.html</w:t>
      </w:r>
    </w:p>
    <w:p>
      <w:pPr>
        <w:pStyle w:val="BodyText"/>
      </w:pPr>
      <w:hyperlink r:id="rId13">
        <w:r>
          <w:rPr>
            <w:rStyle w:val="Hyperlink"/>
          </w:rPr>
          <w:t xml:space="preserve">https://www.xysmuseum.com/587.html</w:t>
        </w:r>
      </w:hyperlink>
    </w:p>
    <w:p>
      <w:pPr>
        <w:pStyle w:val="BodyText"/>
      </w:pPr>
      <w:hyperlink r:id="rId14">
        <w:r>
          <w:rPr>
            <w:rStyle w:val="Hyperlink"/>
          </w:rPr>
          <w:t xml:space="preserve">[3]</w:t>
        </w:r>
      </w:hyperlink>
      <w:r>
        <w:t xml:space="preserve"> </w:t>
      </w:r>
      <w:r>
        <w:t xml:space="preserve">https://gxj.xinyu.gov.cn/gxw/zwdt/2026-09/10/content_1bf1a62c6a874439b8e193641ca73a97.shtml</w:t>
      </w:r>
    </w:p>
    <w:p>
      <w:pPr>
        <w:pStyle w:val="BodyText"/>
      </w:pPr>
      <w:hyperlink r:id="rId14">
        <w:r>
          <w:rPr>
            <w:rStyle w:val="Hyperlink"/>
          </w:rPr>
          <w:t xml:space="preserve">https://gxj.xinyu.gov.cn/gxw/zwdt/2026-09/10/content_1bf1a62c6a874439b8e193641ca73a97.shtml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https://www.saac.gov.cn/daj/c100218/202205/c576345df9934dc58956c78c9553b67e.shtml</w:t>
      </w:r>
    </w:p>
    <w:p>
      <w:pPr>
        <w:pStyle w:val="BodyText"/>
      </w:pPr>
      <w:hyperlink r:id="rId15">
        <w:r>
          <w:rPr>
            <w:rStyle w:val="Hyperlink"/>
          </w:rPr>
          <w:t xml:space="preserve">https://www.saac.gov.cn/daj/c100218/202205/c576345df9934dc58956c78c9553b67e.shtml</w:t>
        </w:r>
      </w:hyperlink>
    </w:p>
    <w:p>
      <w:pPr>
        <w:pStyle w:val="BodyText"/>
      </w:pPr>
      <w:hyperlink r:id="rId16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https://www.mct.gov.cn/preview/whhlyqyzcxxfw/zhgl/202606/t20260601_966065.html</w:t>
      </w:r>
    </w:p>
    <w:p>
      <w:pPr>
        <w:pStyle w:val="BodyText"/>
      </w:pPr>
      <w:hyperlink r:id="rId16">
        <w:r>
          <w:rPr>
            <w:rStyle w:val="Hyperlink"/>
          </w:rPr>
          <w:t xml:space="preserve">https://www.mct.gov.cn/preview/whhlyqyzcxxfw/zhgl/202606/t20260601_966065.html</w:t>
        </w:r>
      </w:hyperlink>
    </w:p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gxj.xinyu.gov.cn/gxw/zwdt/2026-09/10/content_1bf1a62c6a874439b8e193641ca73a97.shtml" TargetMode="External" /><Relationship Type="http://schemas.openxmlformats.org/officeDocument/2006/relationships/hyperlink" Id="rId16" Target="https://www.mct.gov.cn/preview/whhlyqyzcxxfw/zhgl/202606/t20260601_966065.html" TargetMode="External" /><Relationship Type="http://schemas.openxmlformats.org/officeDocument/2006/relationships/hyperlink" Id="rId12" Target="https://www.ncda.org.cn/dsjs/dsnr/mtsd/9B8/" TargetMode="External" /><Relationship Type="http://schemas.openxmlformats.org/officeDocument/2006/relationships/hyperlink" Id="rId15" Target="https://www.saac.gov.cn/daj/c100218/202205/c576345df9934dc58956c78c9553b67e.shtml" TargetMode="External" /><Relationship Type="http://schemas.openxmlformats.org/officeDocument/2006/relationships/hyperlink" Id="rId13" Target="https://www.xysmuseum.com/587.html" TargetMode="External" /><Relationship Type="http://schemas.openxmlformats.org/officeDocument/2006/relationships/hyperlink" Id="rId10" Target="sandbox:/mnt/data/&#24320;&#29289;&#33033;&#32476;_&#22825;&#24037;&#24320;&#29289;&#26479;_&#39033;&#30446;&#25191;&#34892;&#35745;&#21010;&#19982;&#25216;&#26415;&#35774;&#35745;&#25991;&#26723;_V1.0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gxj.xinyu.gov.cn/gxw/zwdt/2026-09/10/content_1bf1a62c6a874439b8e193641ca73a97.shtml" TargetMode="External" /><Relationship Type="http://schemas.openxmlformats.org/officeDocument/2006/relationships/hyperlink" Id="rId16" Target="https://www.mct.gov.cn/preview/whhlyqyzcxxfw/zhgl/202606/t20260601_966065.html" TargetMode="External" /><Relationship Type="http://schemas.openxmlformats.org/officeDocument/2006/relationships/hyperlink" Id="rId12" Target="https://www.ncda.org.cn/dsjs/dsnr/mtsd/9B8/" TargetMode="External" /><Relationship Type="http://schemas.openxmlformats.org/officeDocument/2006/relationships/hyperlink" Id="rId15" Target="https://www.saac.gov.cn/daj/c100218/202205/c576345df9934dc58956c78c9553b67e.shtml" TargetMode="External" /><Relationship Type="http://schemas.openxmlformats.org/officeDocument/2006/relationships/hyperlink" Id="rId13" Target="https://www.xysmuseum.com/587.html" TargetMode="External" /><Relationship Type="http://schemas.openxmlformats.org/officeDocument/2006/relationships/hyperlink" Id="rId10" Target="sandbox:/mnt/data/&#24320;&#29289;&#33033;&#32476;_&#22825;&#24037;&#24320;&#29289;&#26479;_&#39033;&#30446;&#25191;&#34892;&#35745;&#21010;&#19982;&#25216;&#26415;&#35774;&#35745;&#25991;&#26723;_V1.0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zh-CN</dc:language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