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思源黑体" w:hAnsi="Arial"/>
          <w:b/>
          <w:bCs/>
          <w:color w:val="745CFF"/>
          <w:sz w:val="24"/>
          <w:szCs w:val="24"/>
        </w:rPr>
        <w:t xml:space="preserve">涟漪 Ripple · 全国数媒竞赛</w:t>
      </w:r>
    </w:p>
    <w:p>
      <w:pPr>
        <w:spacing w:after="120"/>
        <w:jc w:val="center"/>
      </w:pPr>
      <w:r>
        <w:rPr>
          <w:rFonts w:ascii="Arial" w:cs="Arial" w:eastAsia="思源黑体" w:hAnsi="Arial"/>
          <w:b/>
          <w:bCs/>
          <w:color w:val="0B1020"/>
          <w:sz w:val="56"/>
          <w:szCs w:val="56"/>
        </w:rPr>
        <w:t xml:space="preserve">C 组视觉交付包</w:t>
      </w:r>
    </w:p>
    <w:p>
      <w:pPr>
        <w:spacing w:after="360"/>
        <w:jc w:val="center"/>
      </w:pPr>
      <w:r>
        <w:rPr>
          <w:rFonts w:ascii="Arial" w:cs="Arial" w:eastAsia="思源黑体" w:hAnsi="Arial"/>
          <w:color w:val="0B1020"/>
          <w:sz w:val="24"/>
          <w:szCs w:val="24"/>
        </w:rPr>
        <w:t xml:space="preserve">统一视觉规范 · 九场景动效 · 录屏镜头清单 · 案例展示稿规格</w:t>
      </w:r>
    </w:p>
    <w:p>
      <w:pPr>
        <w:spacing w:after="1600"/>
        <w:jc w:val="center"/>
      </w:pPr>
      <w:r>
        <w:rPr>
          <w:rFonts w:ascii="Arial" w:cs="Arial" w:eastAsia="思源黑体" w:hAnsi="Arial"/>
          <w:i/>
          <w:iCs/>
          <w:color w:val="35D5FF"/>
          <w:sz w:val="22"/>
          <w:szCs w:val="22"/>
        </w:rPr>
        <w:t xml:space="preserve">改动上线前，先看见波及</w:t>
      </w:r>
    </w:p>
    <w:p>
      <w:pPr>
        <w:spacing w:after="80"/>
        <w:jc w:val="center"/>
      </w:pPr>
      <w:r>
        <w:rPr>
          <w:rFonts w:ascii="Arial" w:cs="Arial" w:eastAsia="思源黑体" w:hAnsi="Arial"/>
          <w:color w:val="0B1020"/>
          <w:sz w:val="20"/>
          <w:szCs w:val="20"/>
        </w:rPr>
        <w:t xml:space="preserve">负责人：C（视觉与动效）</w:t>
      </w:r>
    </w:p>
    <w:p>
      <w:pPr>
        <w:spacing w:after="80"/>
        <w:jc w:val="center"/>
      </w:pPr>
      <w:r>
        <w:rPr>
          <w:rFonts w:ascii="Arial" w:cs="Arial" w:eastAsia="思源黑体" w:hAnsi="Arial"/>
          <w:color w:val="0B1020"/>
          <w:sz w:val="20"/>
          <w:szCs w:val="20"/>
        </w:rPr>
        <w:t xml:space="preserve">交付日期：2026-10-12</w:t>
      </w:r>
    </w:p>
    <w:p>
      <w:pPr>
        <w:spacing w:after="80"/>
        <w:jc w:val="center"/>
      </w:pPr>
      <w:r>
        <w:rPr>
          <w:rFonts w:ascii="Arial" w:cs="Arial" w:eastAsia="思源黑体" w:hAnsi="Arial"/>
          <w:color w:val="0B1020"/>
          <w:sz w:val="20"/>
          <w:szCs w:val="20"/>
        </w:rPr>
        <w:t xml:space="preserve">版本号：v0.1.0</w:t>
      </w:r>
    </w:p>
    <w:p>
      <w:pPr>
        <w:spacing w:after="80"/>
        <w:jc w:val="center"/>
      </w:pPr>
      <w:r>
        <w:rPr>
          <w:rFonts w:ascii="Arial" w:cs="Arial" w:eastAsia="思源黑体" w:hAnsi="Arial"/>
          <w:color w:val="0B1020"/>
          <w:sz w:val="20"/>
          <w:szCs w:val="20"/>
        </w:rPr>
        <w:t xml:space="preserve">依据文件：图一《C_需求调研报告_证据审计修订版》、图二《Ripple_C_分工与验收计划》、图三《A/B/C/D 交付要求》</w:t>
      </w:r>
    </w:p>
    <w:p>
      <w:r>
        <w:br w:type="page"/>
      </w:r>
    </w:p>
    <w:p>
      <w:pPr>
        <w:spacing w:after="200"/>
      </w:pPr>
      <w:r>
        <w:rPr>
          <w:rFonts w:ascii="Arial" w:cs="Arial" w:eastAsia="思源黑体" w:hAnsi="Arial"/>
          <w:b/>
          <w:bCs/>
          <w:color w:val="0B1020"/>
          <w:sz w:val="30"/>
          <w:szCs w:val="30"/>
        </w:rPr>
        <w:t xml:space="preserve">目录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一、交付总览与元数据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二、证据引用纪律（依据图一审计报告）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三、统一视觉规范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四、九场景动效规格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五、录屏镜头清单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六、案例展示稿规格说明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七、已知限制与风险登记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附录：交接给 D 的文件路径表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思源黑体" w:hAnsi="Arial"/>
          <w:b/>
          <w:bCs/>
          <w:color w:val="0B1020"/>
          <w:sz w:val="32"/>
          <w:szCs w:val="32"/>
        </w:rPr>
        <w:t xml:space="preserve">一、交付总览与元数据</w:t>
      </w:r>
    </w:p>
    <w:p>
      <w:pPr>
        <w:spacing w:after="140" w:line="320"/>
        <w:ind w:firstLine="431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本交付包覆盖图三对 C 的全部七项要求：青野状态稿、栖光新旧海报、三容器展示稿、第三方原站展示稿、统一视觉规范、九场景动效、录屏镜头清单。所有风险标注遵循图一审计纪律，运行时风险一律引用 B 的 Evidence ID（B 尚未交付，本版以占位符标注，详见第二章）。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1.1 交付元数据（图三硬性要求）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826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负责人</w:t>
            </w:r>
          </w:p>
        </w:tc>
        <w:tc>
          <w:tcPr>
            <w:tcW w:type="dxa" w:w="6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C（视觉与动效负责人）</w:t>
            </w:r>
          </w:p>
        </w:tc>
      </w:tr>
      <w:tr>
        <w:tc>
          <w:tcPr>
            <w:tcW w:type="dxa" w:w="22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交付日期</w:t>
            </w:r>
          </w:p>
        </w:tc>
        <w:tc>
          <w:tcPr>
            <w:tcW w:type="dxa" w:w="68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2026-10-12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版本号</w:t>
            </w:r>
          </w:p>
        </w:tc>
        <w:tc>
          <w:tcPr>
            <w:tcW w:type="dxa" w:w="6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v0.1.0</w:t>
            </w:r>
          </w:p>
        </w:tc>
      </w:tr>
      <w:tr>
        <w:tc>
          <w:tcPr>
            <w:tcW w:type="dxa" w:w="22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已知限制</w:t>
            </w:r>
          </w:p>
        </w:tc>
        <w:tc>
          <w:tcPr>
            <w:tcW w:type="dxa" w:w="68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① 全部案例画面为概念效果图，非浏览器实测；② 运行时风险标注使用 E-REF/E-VIEW 占位符，待 B 提供真实 Evidence ID 后全局替换；③ 第三方开源仓库为候选接入中，待 B 确认 Token 与消费位置；④ 青野 375px 重叠风险为方案设定，标注“待验证”。详见第七章。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是否可直接进入录屏</w:t>
            </w:r>
          </w:p>
        </w:tc>
        <w:tc>
          <w:tcPr>
            <w:tcW w:type="dxa" w:w="68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部分可：栖光新旧海报、统一视觉规范可直接使用；含风险标注与第三方原站的画面须待 B 的真实 Evidence ID 与真实仓库截图替换后方可进入正式录屏。</w:t>
            </w:r>
          </w:p>
        </w:tc>
      </w:tr>
      <w:tr>
        <w:tc>
          <w:tcPr>
            <w:tcW w:type="dxa" w:w="22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交接给 D 的文件路径</w:t>
            </w:r>
          </w:p>
        </w:tc>
        <w:tc>
          <w:tcPr>
            <w:tcW w:type="dxa" w:w="68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见附录路径表（输出根目录 ripple-c/）。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1.2 七项交付物清单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2700"/>
        <w:gridCol w:w="1726"/>
      </w:tblGrid>
      <w:tr>
        <w:trPr>
          <w:tblHeader/>
        </w:trPr>
        <w:tc>
          <w:tcPr>
            <w:tcW w:type="dxa" w:w="15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31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文件路径（相对 ripple-c/）</w:t>
            </w:r>
          </w:p>
        </w:tc>
        <w:tc>
          <w:tcPr>
            <w:tcW w:type="dxa" w:w="27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1726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可直接进入录屏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青野状态稿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青野状态稿/青野状态稿.kanva.pptd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v0.1.0 概念稿已交付；风险标注为占位符</w:t>
            </w:r>
          </w:p>
        </w:tc>
        <w:tc>
          <w:tcPr>
            <w:tcW w:type="dxa" w:w="17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否（待 B 证据替换）</w:t>
            </w:r>
          </w:p>
        </w:tc>
      </w:tr>
      <w:tr>
        <w:tc>
          <w:tcPr>
            <w:tcW w:type="dxa" w:w="1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栖光新旧海报</w:t>
            </w:r>
          </w:p>
        </w:tc>
        <w:tc>
          <w:tcPr>
            <w:tcW w:type="dxa" w:w="31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栖光新旧海报/栖光新旧海报.kanva.pptd</w:t>
            </w:r>
          </w:p>
        </w:tc>
        <w:tc>
          <w:tcPr>
            <w:tcW w:type="dxa" w:w="27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v0.1.0 已交付（16:9 旧版 + 4:5 新版）</w:t>
            </w:r>
          </w:p>
        </w:tc>
        <w:tc>
          <w:tcPr>
            <w:tcW w:type="dxa" w:w="17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三容器展示稿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栖光三容器展示稿/栖光三容器展示稿.kanva.pptd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v0.1.0 概念稿（横幅/展墙/购票卡）</w:t>
            </w:r>
          </w:p>
        </w:tc>
        <w:tc>
          <w:tcPr>
            <w:tcW w:type="dxa" w:w="17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待 A 页面联调</w:t>
            </w:r>
          </w:p>
        </w:tc>
      </w:tr>
      <w:tr>
        <w:tc>
          <w:tcPr>
            <w:tcW w:type="dxa" w:w="1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第三方原站展示稿</w:t>
            </w:r>
          </w:p>
        </w:tc>
        <w:tc>
          <w:tcPr>
            <w:tcW w:type="dxa" w:w="31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第三方原站展示稿/第三方原站展示稿.kanva.pptd</w:t>
            </w:r>
          </w:p>
        </w:tc>
        <w:tc>
          <w:tcPr>
            <w:tcW w:type="dxa" w:w="27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v0.1.0 概念示意，待真实仓库截图替换</w:t>
            </w:r>
          </w:p>
        </w:tc>
        <w:tc>
          <w:tcPr>
            <w:tcW w:type="dxa" w:w="17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否（待 B 真实截图）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统一视觉规范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本文档第三章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v0.1.0</w:t>
            </w:r>
          </w:p>
        </w:tc>
        <w:tc>
          <w:tcPr>
            <w:tcW w:type="dxa" w:w="17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是（作为规范）</w:t>
            </w:r>
          </w:p>
        </w:tc>
      </w:tr>
      <w:tr>
        <w:tc>
          <w:tcPr>
            <w:tcW w:type="dxa" w:w="1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九场景动效</w:t>
            </w:r>
          </w:p>
        </w:tc>
        <w:tc>
          <w:tcPr>
            <w:tcW w:type="dxa" w:w="31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本文档第四章</w:t>
            </w:r>
          </w:p>
        </w:tc>
        <w:tc>
          <w:tcPr>
            <w:tcW w:type="dxa" w:w="27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v0.1.0 时序规格</w:t>
            </w:r>
          </w:p>
        </w:tc>
        <w:tc>
          <w:tcPr>
            <w:tcW w:type="dxa" w:w="17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待 A 实现联调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录屏镜头清单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本文档第五章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v0.1.0（120 秒精华版 + 完整版）</w:t>
            </w:r>
          </w:p>
        </w:tc>
        <w:tc>
          <w:tcPr>
            <w:tcW w:type="dxa" w:w="17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待 10/16 彩排确认</w:t>
            </w:r>
          </w:p>
        </w:tc>
      </w:tr>
    </w:tbl>
    <w:p>
      <w:pPr>
        <w:spacing w:after="120" w:line="280"/>
      </w:pPr>
      <w:r>
        <w:rPr>
          <w:rFonts w:ascii="Arial" w:cs="Arial" w:eastAsia="思源黑体" w:hAnsi="Arial"/>
          <w:i/>
          <w:iCs/>
          <w:color w:val="8A93A7"/>
          <w:sz w:val="18"/>
          <w:szCs w:val="18"/>
        </w:rPr>
        <w:t xml:space="preserve">说明：四个 .kanva.pptd 文件可在编辑器中打开、预览、编辑并导出为图片或 PPTX；本文为唯一规格与清单来源，后续版本以本文档版本号为准。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思源黑体" w:hAnsi="Arial"/>
          <w:b/>
          <w:bCs/>
          <w:color w:val="0B1020"/>
          <w:sz w:val="32"/>
          <w:szCs w:val="32"/>
        </w:rPr>
        <w:t xml:space="preserve">二、证据引用纪律（依据图一审计报告）</w:t>
      </w:r>
    </w:p>
    <w:p>
      <w:pPr>
        <w:spacing w:after="140" w:line="320"/>
        <w:ind w:firstLine="431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依据图一《C_需求调研报告_证据审计修订版》（审计日期 2026-10-07，27 条证据记录：A 级 6 条、B 级 1 条、C 级 13 条、D 级 7 条），C 的全部交付物执行以下纪律：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事实、推论、建议、假设四类内容分离标注，不新增无来源事实；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研究/背景类表述引用图一真实证据 ID（C-CN-xx、O-0x、C-INT-0x）并带证据等级；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产品运行时风险标注必须引用 B 的真实 Evidence ID（E-REF-xxx / E-VIEW-xxx）；B 尚未交付前，一律使用占位符并注明“待 B 提供真实 Evidence ID”；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图片分三类标注：视觉参考 / 概念效果 / 浏览器实测；本交付包中不含任何浏览器实测图，概念图不冒充实测截图；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未完成项标注“待验证 / 候选接入中”，不写“已验证”；不预填未实测数值；不引用不存在的截图文件名。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2.1 本交付引用的图一证据（真实 ID）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3600"/>
        <w:gridCol w:w="3226"/>
      </w:tblGrid>
      <w:tr>
        <w:trPr>
          <w:tblHeader/>
        </w:trPr>
        <w:tc>
          <w:tcPr>
            <w:tcW w:type="dxa" w:w="13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证据 ID</w:t>
            </w:r>
          </w:p>
        </w:tc>
        <w:tc>
          <w:tcPr>
            <w:tcW w:type="dxa" w:w="9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等级</w:t>
            </w:r>
          </w:p>
        </w:tc>
        <w:tc>
          <w:tcPr>
            <w:tcW w:type="dxa" w:w="36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3226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在本交付中的用途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O-01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A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CNNIC：截至 2025 年 6 月我国生成式 AI 用户 5.15 亿、普及率 36.5%</w:t>
            </w:r>
          </w:p>
        </w:tc>
        <w:tc>
          <w:tcPr>
            <w:tcW w:type="dxa" w:w="3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答辩与 PPT 背景数据；仅证明使用广泛，不证明企业需求</w:t>
            </w:r>
          </w:p>
        </w:tc>
      </w:tr>
      <w:tr>
        <w:tc>
          <w:tcPr>
            <w:tcW w:type="dxa" w:w="13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O-04 / O-05</w:t>
            </w:r>
          </w:p>
        </w:tc>
        <w:tc>
          <w:tcPr>
            <w:tcW w:type="dxa" w:w="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A</w:t>
            </w:r>
          </w:p>
        </w:tc>
        <w:tc>
          <w:tcPr>
            <w:tcW w:type="dxa" w:w="3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Dify / n8n 官方文档：工作流编排与执行记录、重试能力存在</w:t>
            </w:r>
          </w:p>
        </w:tc>
        <w:tc>
          <w:tcPr>
            <w:tcW w:type="dxa" w:w="32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竞品对照；仅证明功能存在，不作为用户需求证据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C-CN-20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A（历史）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GitHub Issue #24567：Dify 1.4.0 升 1.7.2 报 Internal Server Error；当前已关闭、标记 outdated 与 cant-reproduce</w:t>
            </w:r>
          </w:p>
        </w:tc>
        <w:tc>
          <w:tcPr>
            <w:tcW w:type="dxa" w:w="3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支持“版本历史与一键恢复”设计；仅证明历史报告存在，不写成当前缺陷</w:t>
            </w:r>
          </w:p>
        </w:tc>
      </w:tr>
      <w:tr>
        <w:tc>
          <w:tcPr>
            <w:tcW w:type="dxa" w:w="13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C-CN-11</w:t>
            </w:r>
          </w:p>
        </w:tc>
        <w:tc>
          <w:tcPr>
            <w:tcW w:type="dxa" w:w="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B</w:t>
            </w:r>
          </w:p>
        </w:tc>
        <w:tc>
          <w:tcPr>
            <w:tcW w:type="dxa" w:w="3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去哪儿 SQL Agent 负责人复盘：数据口径、脏数据、隐性条件需人工确认</w:t>
            </w:r>
          </w:p>
        </w:tc>
        <w:tc>
          <w:tcPr>
            <w:tcW w:type="dxa" w:w="32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支持 Evidence 编号、口径由 Owner 确认的机制设计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C-CN-02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C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V2EX 多用户讨论：受控 DAG 与人工审阅优于 Agent-first</w:t>
            </w:r>
          </w:p>
        </w:tc>
        <w:tc>
          <w:tcPr>
            <w:tcW w:type="dxa" w:w="3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支持 Scope 决策保留人工确认双大卡，而非自动执行</w:t>
            </w:r>
          </w:p>
        </w:tc>
      </w:tr>
      <w:tr>
        <w:tc>
          <w:tcPr>
            <w:tcW w:type="dxa" w:w="13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C-CN-05</w:t>
            </w:r>
          </w:p>
        </w:tc>
        <w:tc>
          <w:tcPr>
            <w:tcW w:type="dxa" w:w="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C</w:t>
            </w:r>
          </w:p>
        </w:tc>
        <w:tc>
          <w:tcPr>
            <w:tcW w:type="dxa" w:w="3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V2EX 讨论：原型快与生产控制的边界</w:t>
            </w:r>
          </w:p>
        </w:tc>
        <w:tc>
          <w:tcPr>
            <w:tcW w:type="dxa" w:w="32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支持“沙箱预演与生产草稿分离”的预演流程</w:t>
            </w:r>
          </w:p>
        </w:tc>
      </w:tr>
      <w:tr>
        <w:tc>
          <w:tcPr>
            <w:tcW w:type="dxa" w:w="1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C-INT-01 / C-INT-02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C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两位匿名受访者：涉及钱和人的处罚绝不让 AI 自己决定；规则变化靠踩坑同步</w:t>
            </w:r>
          </w:p>
        </w:tc>
        <w:tc>
          <w:tcPr>
            <w:tcW w:type="dxa" w:w="3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支持应用前必须人工确认、改动波及需可视化的价值主张；仅代表个案</w:t>
            </w:r>
          </w:p>
        </w:tc>
      </w:tr>
    </w:tbl>
    <w:p>
      <w:pPr>
        <w:spacing w:after="120" w:line="280"/>
      </w:pPr>
      <w:r>
        <w:rPr>
          <w:rFonts w:ascii="Arial" w:cs="Arial" w:eastAsia="思源黑体" w:hAnsi="Arial"/>
          <w:i/>
          <w:iCs/>
          <w:color w:val="8A93A7"/>
          <w:sz w:val="18"/>
          <w:szCs w:val="18"/>
        </w:rPr>
        <w:t xml:space="preserve">等级口径（图一附录 A）：A = 官方资料 / 公开工程记录 / 多用户复现；B = 具名从业者详细案例；C = 匿名社区实践与匿名访谈；D = 招聘推广、评论推测与二手转述。D 级证据本交付不引用。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2.2 运行时风险标注占位符规则（待 B 交付）</w:t>
      </w:r>
    </w:p>
    <w:p>
      <w:pPr>
        <w:spacing w:after="140" w:line="320"/>
        <w:ind w:firstLine="431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图三要求“所有风险标注必须引用 B 的真实 Evidence ID”。B 的真实 RippleGraph、三视口截图与 Evidence 索引尚未交付，本版统一使用下列占位符；B 交付后按映射表全局替换，替换完成前相关画面不得进入正式录屏。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tblHeader/>
        </w:trPr>
        <w:tc>
          <w:tcPr>
            <w:tcW w:type="dxa" w:w="20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占位符</w:t>
            </w:r>
          </w:p>
        </w:tc>
        <w:tc>
          <w:tcPr>
            <w:tcW w:type="dxa" w:w="36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426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期望来源（B 的交付物）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E-REF-001（占位）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青野 campaign.autumn.title 共享内容源被首页 / 秋季活动页 / 商品专题页三处消费</w:t>
            </w:r>
          </w:p>
        </w:tc>
        <w:tc>
          <w:tcPr>
            <w:tcW w:type="dxa" w:w="3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青野真实 RippleGraph 与 Evidence 索引</w:t>
            </w:r>
          </w:p>
        </w:tc>
      </w:tr>
      <w:tr>
        <w:tc>
          <w:tcPr>
            <w:tcW w:type="dxa" w:w="20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E-REF-002（占位）</w:t>
            </w:r>
          </w:p>
        </w:tc>
        <w:tc>
          <w:tcPr>
            <w:tcW w:type="dxa" w:w="3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品牌故事页 /about 使用独立 Literal 文案，不受共享源影响（负例）</w:t>
            </w:r>
          </w:p>
        </w:tc>
        <w:tc>
          <w:tcPr>
            <w:tcW w:type="dxa" w:w="3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青野真实 RippleGraph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E-VIEW-001（占位）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秋季活动页 375×812 视口候选长标题与购买按钮几何重叠</w:t>
            </w:r>
          </w:p>
        </w:tc>
        <w:tc>
          <w:tcPr>
            <w:tcW w:type="dxa" w:w="3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Playwright 三视口实测截图与几何证据</w:t>
            </w:r>
          </w:p>
        </w:tc>
      </w:tr>
      <w:tr>
        <w:tc>
          <w:tcPr>
            <w:tcW w:type="dxa" w:w="20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E-REF-003（占位）</w:t>
            </w:r>
          </w:p>
        </w:tc>
        <w:tc>
          <w:tcPr>
            <w:tcW w:type="dxa" w:w="3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栖光 festival.hero.poster 共享媒体源被首页横幅 / 节目页展墙 / 购票页卡片三处消费</w:t>
            </w:r>
          </w:p>
        </w:tc>
        <w:tc>
          <w:tcPr>
            <w:tcW w:type="dxa" w:w="3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栖光真实 RippleGraph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E-REF-004（占位）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第三方仓库品牌强调色 Token（候选 --brand-accent）的真实消费位置清单</w:t>
            </w:r>
          </w:p>
        </w:tc>
        <w:tc>
          <w:tcPr>
            <w:tcW w:type="dxa" w:w="3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第三方仓库检查与真实消费位置（含仓库链接、commit、许可证）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思源黑体" w:hAnsi="Arial"/>
          <w:b/>
          <w:bCs/>
          <w:color w:val="0B1020"/>
          <w:sz w:val="32"/>
          <w:szCs w:val="32"/>
        </w:rPr>
        <w:t xml:space="preserve">三、统一视觉规范</w:t>
      </w:r>
    </w:p>
    <w:p>
      <w:pPr>
        <w:spacing w:after="140" w:line="320"/>
        <w:ind w:firstLine="431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规范目标（对应验收重点）：三个案例视觉差异明确但外壳统一，风险颜色、成功颜色和状态层级一致，评委一眼看懂从修改到涟漪、预演、决策和恢复的因果。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3.1 外壳与画布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编辑器外壳：深墨蓝 #0B1020，承载导航、面板与操作区；页面画布保持白底或原站背景，不用 Ripple 视觉替代原站视觉。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布局：左侧工具轨（选择 / 页面 / 涟漪 / 历史），中间页面画布，右侧“这次修改的涟漪”面板；顶部右侧固定“预演改动”主按钮。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3.2 色板与语义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600"/>
        <w:gridCol w:w="3426"/>
      </w:tblGrid>
      <w:tr>
        <w:trPr>
          <w:tblHeader/>
        </w:trPr>
        <w:tc>
          <w:tcPr>
            <w:tcW w:type="dxa" w:w="15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色名</w:t>
            </w:r>
          </w:p>
        </w:tc>
        <w:tc>
          <w:tcPr>
            <w:tcW w:type="dxa" w:w="15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6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语义</w:t>
            </w:r>
          </w:p>
        </w:tc>
        <w:tc>
          <w:tcPr>
            <w:tcW w:type="dxa" w:w="3426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用法</w:t>
            </w:r>
          </w:p>
        </w:tc>
      </w:tr>
      <w:tr>
        <w:tc>
          <w:tcPr>
            <w:tcW w:type="dxa" w:w="15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深墨蓝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#0B1020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外壳 / 正文</w:t>
            </w:r>
          </w:p>
        </w:tc>
        <w:tc>
          <w:tcPr>
            <w:tcW w:type="dxa" w:w="3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编辑器外壳、标题与正文文字</w:t>
            </w:r>
          </w:p>
        </w:tc>
      </w:tr>
      <w:tr>
        <w:tc>
          <w:tcPr>
            <w:tcW w:type="dxa" w:w="1500"/>
            <w:shd w:fill="745C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主强调紫</w:t>
            </w:r>
          </w:p>
        </w:tc>
        <w:tc>
          <w:tcPr>
            <w:tcW w:type="dxa" w:w="1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#745CFF</w:t>
            </w:r>
          </w:p>
        </w:tc>
        <w:tc>
          <w:tcPr>
            <w:tcW w:type="dxa" w:w="2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选中 / 主操作</w:t>
            </w:r>
          </w:p>
        </w:tc>
        <w:tc>
          <w:tcPr>
            <w:tcW w:type="dxa" w:w="3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选中描边、主按钮、当前编辑项</w:t>
            </w:r>
          </w:p>
        </w:tc>
      </w:tr>
      <w:tr>
        <w:tc>
          <w:tcPr>
            <w:tcW w:type="dxa" w:w="1500"/>
            <w:shd w:fill="35D5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涟漪青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#35D5FF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波及 / 高光</w:t>
            </w:r>
          </w:p>
        </w:tc>
        <w:tc>
          <w:tcPr>
            <w:tcW w:type="dxa" w:w="3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涟漪连线、节点亮起、水波扩散</w:t>
            </w:r>
          </w:p>
        </w:tc>
      </w:tr>
      <w:tr>
        <w:tc>
          <w:tcPr>
            <w:tcW w:type="dxa" w:w="1500"/>
            <w:shd w:fill="36D39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安全绿</w:t>
            </w:r>
          </w:p>
        </w:tc>
        <w:tc>
          <w:tcPr>
            <w:tcW w:type="dxa" w:w="1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#36D399</w:t>
            </w:r>
          </w:p>
        </w:tc>
        <w:tc>
          <w:tcPr>
            <w:tcW w:type="dxa" w:w="2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安全 / 成功</w:t>
            </w:r>
          </w:p>
        </w:tc>
        <w:tc>
          <w:tcPr>
            <w:tcW w:type="dxa" w:w="3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无预设布局异常、应用成功、恢复完成</w:t>
            </w:r>
          </w:p>
        </w:tc>
      </w:tr>
      <w:tr>
        <w:tc>
          <w:tcPr>
            <w:tcW w:type="dxa" w:w="1500"/>
            <w:shd w:fill="FFB84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注意橙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#FFB84D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注意</w:t>
            </w:r>
          </w:p>
        </w:tc>
        <w:tc>
          <w:tcPr>
            <w:tcW w:type="dxa" w:w="3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需人工确认的裁切、构图判断</w:t>
            </w:r>
          </w:p>
        </w:tc>
      </w:tr>
      <w:tr>
        <w:tc>
          <w:tcPr>
            <w:tcW w:type="dxa" w:w="1500"/>
            <w:shd w:fill="FF5D7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问题红</w:t>
            </w:r>
          </w:p>
        </w:tc>
        <w:tc>
          <w:tcPr>
            <w:tcW w:type="dxa" w:w="1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#FF5D78</w:t>
            </w:r>
          </w:p>
        </w:tc>
        <w:tc>
          <w:tcPr>
            <w:tcW w:type="dxa" w:w="2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明确问题</w:t>
            </w:r>
          </w:p>
        </w:tc>
        <w:tc>
          <w:tcPr>
            <w:tcW w:type="dxa" w:w="3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实测确认的几何遮挡、重叠（必须带 Evidence ID）</w:t>
            </w:r>
          </w:p>
        </w:tc>
      </w:tr>
      <w:tr>
        <w:tc>
          <w:tcPr>
            <w:tcW w:type="dxa" w:w="1500"/>
            <w:shd w:fill="8A93A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未验证灰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#8A93A7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未验证 / 不受影响</w:t>
            </w:r>
          </w:p>
        </w:tc>
        <w:tc>
          <w:tcPr>
            <w:tcW w:type="dxa" w:w="3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灰显节点、占位标注、待验证项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3.3 字体、圆角与阴影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中文：思源黑体 / HarmonyOS Sans SC；英文与数字：Inter / Geist；证据编号与代码标识使用等宽风格（Geist Mono 或系统等宽）。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字阶：展示标题 32 / 24，卡片标题 20 / 16，正文 14，标注与证据芯片 12。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圆角：卡片 14–16px，按钮 10–12px；阴影为低饱和柔阴影 + 微内发光，不用重投影。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3.4 状态层级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626"/>
      </w:tblGrid>
      <w:tr>
        <w:trPr>
          <w:tblHeader/>
        </w:trPr>
        <w:tc>
          <w:tcPr>
            <w:tcW w:type="dxa" w:w="14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4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描边 / 填充</w:t>
            </w:r>
          </w:p>
        </w:tc>
        <w:tc>
          <w:tcPr>
            <w:tcW w:type="dxa" w:w="26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图标与徽标</w:t>
            </w:r>
          </w:p>
        </w:tc>
        <w:tc>
          <w:tcPr>
            <w:tcW w:type="dxa" w:w="2626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默认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无描边，原站视觉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—</w:t>
            </w:r>
          </w:p>
        </w:tc>
        <w:tc>
          <w:tcPr>
            <w:tcW w:type="dxa" w:w="2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页面画布的初始态</w:t>
            </w:r>
          </w:p>
        </w:tc>
      </w:tr>
      <w:tr>
        <w:tc>
          <w:tcPr>
            <w:tcW w:type="dxa" w:w="14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悬停</w:t>
            </w:r>
          </w:p>
        </w:tc>
        <w:tc>
          <w:tcPr>
            <w:tcW w:type="dxa" w:w="24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主强调紫 1px 描边</w:t>
            </w:r>
          </w:p>
        </w:tc>
        <w:tc>
          <w:tcPr>
            <w:tcW w:type="dxa" w:w="2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—</w:t>
            </w:r>
          </w:p>
        </w:tc>
        <w:tc>
          <w:tcPr>
            <w:tcW w:type="dxa" w:w="26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120ms 淡入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选中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主强调紫 2px 描边 + 控制点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当前编辑徽标</w:t>
            </w:r>
          </w:p>
        </w:tc>
        <w:tc>
          <w:tcPr>
            <w:tcW w:type="dxa" w:w="2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直接编辑入口</w:t>
            </w:r>
          </w:p>
        </w:tc>
      </w:tr>
      <w:tr>
        <w:tc>
          <w:tcPr>
            <w:tcW w:type="dxa" w:w="14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波及</w:t>
            </w:r>
          </w:p>
        </w:tc>
        <w:tc>
          <w:tcPr>
            <w:tcW w:type="dxa" w:w="24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涟漪青连线 + 节点亮起</w:t>
            </w:r>
          </w:p>
        </w:tc>
        <w:tc>
          <w:tcPr>
            <w:tcW w:type="dxa" w:w="2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共享徽标</w:t>
            </w:r>
          </w:p>
        </w:tc>
        <w:tc>
          <w:tcPr>
            <w:tcW w:type="dxa" w:w="26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结构涟漪展开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风险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问题红 2px 描边（不闪烁）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风险徽标 + Evidence 芯片</w:t>
            </w:r>
          </w:p>
        </w:tc>
        <w:tc>
          <w:tcPr>
            <w:tcW w:type="dxa" w:w="2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仅用于实测确认的几何问题</w:t>
            </w:r>
          </w:p>
        </w:tc>
      </w:tr>
      <w:tr>
        <w:tc>
          <w:tcPr>
            <w:tcW w:type="dxa" w:w="14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安全</w:t>
            </w:r>
          </w:p>
        </w:tc>
        <w:tc>
          <w:tcPr>
            <w:tcW w:type="dxa" w:w="24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安全绿标记</w:t>
            </w:r>
          </w:p>
        </w:tc>
        <w:tc>
          <w:tcPr>
            <w:tcW w:type="dxa" w:w="2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通过徽标</w:t>
            </w:r>
          </w:p>
        </w:tc>
        <w:tc>
          <w:tcPr>
            <w:tcW w:type="dxa" w:w="26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无预设布局异常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未验证 / 不受影响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未验证灰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灰显</w:t>
            </w:r>
          </w:p>
        </w:tc>
        <w:tc>
          <w:tcPr>
            <w:tcW w:type="dxa" w:w="2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负例与待验证项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3.5 三案例视觉差异原则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青野文创（主案例）：暖纸色画布（建议 #F6F0E6）、陶土色按钮（建议 #B06B3F）、摄影与留白；辅助色为 C 的建议值，最终以 A 实现为准。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栖光艺术节（辅助 A）：实验海报、高对比流体色（钴蓝 / 品粉 / 青绿 / 暖黄）与票务排版；海报为 C 原创概念设计，不代表真实品牌资产。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第三方开源站（辅助 B）：保留仓库实际视觉、字体、布局与气质，只叠加 Ripple 外壳与标注层，不用 Ripple 视觉替代原站。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思源黑体" w:hAnsi="Arial"/>
          <w:b/>
          <w:bCs/>
          <w:color w:val="0B1020"/>
          <w:sz w:val="32"/>
          <w:szCs w:val="32"/>
        </w:rPr>
        <w:t xml:space="preserve">四、九场景动效规格</w:t>
      </w:r>
    </w:p>
    <w:p>
      <w:pPr>
        <w:spacing w:after="140" w:line="320"/>
        <w:ind w:firstLine="431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动效节奏总原则：短促、克制、不刺眼；风险呈现不用红闪，用 240ms 描边浮现；所有时长为设计目标值，实现偏差控制在 ±40ms 内。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700"/>
        <w:gridCol w:w="2100"/>
        <w:gridCol w:w="2426"/>
      </w:tblGrid>
      <w:tr>
        <w:trPr>
          <w:tblHeader/>
        </w:trPr>
        <w:tc>
          <w:tcPr>
            <w:tcW w:type="dxa" w:w="9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19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7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关键时长</w:t>
            </w:r>
          </w:p>
        </w:tc>
        <w:tc>
          <w:tcPr>
            <w:tcW w:type="dxa" w:w="21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缓动 / 触发</w:t>
            </w:r>
          </w:p>
        </w:tc>
        <w:tc>
          <w:tcPr>
            <w:tcW w:type="dxa" w:w="2426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要点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01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直接编辑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Hover 描边 120ms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ease-out / 指针悬停</w:t>
            </w:r>
          </w:p>
        </w:tc>
        <w:tc>
          <w:tcPr>
            <w:tcW w:type="dxa" w:w="2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紫描边浮现，点选标题进入编辑</w:t>
            </w:r>
          </w:p>
        </w:tc>
      </w:tr>
      <w:tr>
        <w:tc>
          <w:tcPr>
            <w:tcW w:type="dxa" w:w="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02</w:t>
            </w:r>
          </w:p>
        </w:tc>
        <w:tc>
          <w:tcPr>
            <w:tcW w:type="dxa" w:w="1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结构涟漪</w:t>
            </w:r>
          </w:p>
        </w:tc>
        <w:tc>
          <w:tcPr>
            <w:tcW w:type="dxa" w:w="17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中心脉冲 0.96→1.06→1.0；水波 260ms；连线 320ms；节点间隔 80ms；风险徽标延迟 150ms</w:t>
            </w:r>
          </w:p>
        </w:tc>
        <w:tc>
          <w:tcPr>
            <w:tcW w:type="dxa" w:w="21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ease-in-out / 点击“预演改动”</w:t>
            </w:r>
          </w:p>
        </w:tc>
        <w:tc>
          <w:tcPr>
            <w:tcW w:type="dxa" w:w="2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从共享源向外扩散，受影响页亮起，负例灰显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03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三视口预演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设备入场 300ms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ease-out / 涟漪完成后</w:t>
            </w:r>
          </w:p>
        </w:tc>
        <w:tc>
          <w:tcPr>
            <w:tcW w:type="dxa" w:w="2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375×812 / 768×1024 / 1440×900 设备摄影棚排布</w:t>
            </w:r>
          </w:p>
        </w:tc>
      </w:tr>
      <w:tr>
        <w:tc>
          <w:tcPr>
            <w:tcW w:type="dxa" w:w="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04</w:t>
            </w:r>
          </w:p>
        </w:tc>
        <w:tc>
          <w:tcPr>
            <w:tcW w:type="dxa" w:w="1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Before/After 对照</w:t>
            </w:r>
          </w:p>
        </w:tc>
        <w:tc>
          <w:tcPr>
            <w:tcW w:type="dxa" w:w="17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分割线滑动 260ms</w:t>
            </w:r>
          </w:p>
        </w:tc>
        <w:tc>
          <w:tcPr>
            <w:tcW w:type="dxa" w:w="21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linear / 拖动</w:t>
            </w:r>
          </w:p>
        </w:tc>
        <w:tc>
          <w:tcPr>
            <w:tcW w:type="dxa" w:w="2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前后分割对照，滑杆可交互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05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AI 证据解读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逐段淡入 300ms / 段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ease-out / 自动连播</w:t>
            </w:r>
          </w:p>
        </w:tc>
        <w:tc>
          <w:tcPr>
            <w:tcW w:type="dxa" w:w="2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结论先行，Evidence 芯片最后出现</w:t>
            </w:r>
          </w:p>
        </w:tc>
      </w:tr>
      <w:tr>
        <w:tc>
          <w:tcPr>
            <w:tcW w:type="dxa" w:w="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06</w:t>
            </w:r>
          </w:p>
        </w:tc>
        <w:tc>
          <w:tcPr>
            <w:tcW w:type="dxa" w:w="1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范围决策</w:t>
            </w:r>
          </w:p>
        </w:tc>
        <w:tc>
          <w:tcPr>
            <w:tcW w:type="dxa" w:w="17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双卡浮起 200ms</w:t>
            </w:r>
          </w:p>
        </w:tc>
        <w:tc>
          <w:tcPr>
            <w:tcW w:type="dxa" w:w="21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ease-out / 进入决策</w:t>
            </w:r>
          </w:p>
        </w:tc>
        <w:tc>
          <w:tcPr>
            <w:tcW w:type="dxa" w:w="2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“只改当前页”与“同步关联”两个大卡，不用 radio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07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再次预演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连线收束 260ms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ease-in-out / 选定 Scope 后</w:t>
            </w:r>
          </w:p>
        </w:tc>
        <w:tc>
          <w:tcPr>
            <w:tcW w:type="dxa" w:w="2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关联线 3→1 收束，风险描边消退</w:t>
            </w:r>
          </w:p>
        </w:tc>
      </w:tr>
      <w:tr>
        <w:tc>
          <w:tcPr>
            <w:tcW w:type="dxa" w:w="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08</w:t>
            </w:r>
          </w:p>
        </w:tc>
        <w:tc>
          <w:tcPr>
            <w:tcW w:type="dxa" w:w="1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应用与版本胶片</w:t>
            </w:r>
          </w:p>
        </w:tc>
        <w:tc>
          <w:tcPr>
            <w:tcW w:type="dxa" w:w="17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应用 280ms；版本胶片推入 240ms</w:t>
            </w:r>
          </w:p>
        </w:tc>
        <w:tc>
          <w:tcPr>
            <w:tcW w:type="dxa" w:w="21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ease-out / 点击“应用到草稿”</w:t>
            </w:r>
          </w:p>
        </w:tc>
        <w:tc>
          <w:tcPr>
            <w:tcW w:type="dxa" w:w="2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草稿版本 +1，历史胶片可回退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09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品牌收束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光轨逆向收束 400ms；回滚 crossfade 220ms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ease-in-out / 片尾</w:t>
            </w:r>
          </w:p>
        </w:tc>
        <w:tc>
          <w:tcPr>
            <w:tcW w:type="dxa" w:w="2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涟漪光轨收束为 Ripple 标识与 Slogan</w:t>
            </w:r>
          </w:p>
        </w:tc>
      </w:tr>
    </w:tbl>
    <w:p>
      <w:pPr>
        <w:spacing w:after="120" w:line="280"/>
      </w:pPr>
      <w:r>
        <w:rPr>
          <w:rFonts w:ascii="Arial" w:cs="Arial" w:eastAsia="思源黑体" w:hAnsi="Arial"/>
          <w:i/>
          <w:iCs/>
          <w:color w:val="8A93A7"/>
          <w:sz w:val="18"/>
          <w:szCs w:val="18"/>
        </w:rPr>
        <w:t xml:space="preserve">场景 02 的节点扩散时序为招牌动效：中心脉冲 → 水波 → 关联线 → 节点依次亮起 → 风险徽标最后出现，保证评委视线顺序为“源头 → 波及 → 风险”。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思源黑体" w:hAnsi="Arial"/>
          <w:b/>
          <w:bCs/>
          <w:color w:val="0B1020"/>
          <w:sz w:val="32"/>
          <w:szCs w:val="32"/>
        </w:rPr>
        <w:t xml:space="preserve">五、录屏镜头清单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5.1 120 秒精华版（只讲青野一条线）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500"/>
        <w:gridCol w:w="2426"/>
      </w:tblGrid>
      <w:tr>
        <w:trPr>
          <w:tblHeader/>
        </w:trPr>
        <w:tc>
          <w:tcPr>
            <w:tcW w:type="dxa" w:w="15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时间码</w:t>
            </w:r>
          </w:p>
        </w:tc>
        <w:tc>
          <w:tcPr>
            <w:tcW w:type="dxa" w:w="26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画面与操作</w:t>
            </w:r>
          </w:p>
        </w:tc>
        <w:tc>
          <w:tcPr>
            <w:tcW w:type="dxa" w:w="25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旁白要点</w:t>
            </w:r>
          </w:p>
        </w:tc>
        <w:tc>
          <w:tcPr>
            <w:tcW w:type="dxa" w:w="2426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证据 / 标注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00:00–00:15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青野首页，点选 Hero 标题“秋日灵感季”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在 Ripple 里，改一个字之前，先看见它会波及哪里</w:t>
            </w:r>
          </w:p>
        </w:tc>
        <w:tc>
          <w:tcPr>
            <w:tcW w:type="dxa" w:w="2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页面画布为概念效果</w:t>
            </w:r>
          </w:p>
        </w:tc>
      </w:tr>
      <w:tr>
        <w:tc>
          <w:tcPr>
            <w:tcW w:type="dxa" w:w="1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00:15–00:32</w:t>
            </w:r>
          </w:p>
        </w:tc>
        <w:tc>
          <w:tcPr>
            <w:tcW w:type="dxa" w:w="2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输入候选长标题“秋日限定上新，精选好物低至五折，周末会员还有专属惊喜”，点击“预演改动”</w:t>
            </w:r>
          </w:p>
        </w:tc>
        <w:tc>
          <w:tcPr>
            <w:tcW w:type="dxa" w:w="2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候选文案越长，越要先预演</w:t>
            </w:r>
          </w:p>
        </w:tc>
        <w:tc>
          <w:tcPr>
            <w:tcW w:type="dxa" w:w="2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00:32–00:47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结构涟漪展开：首页 / 秋季活动页 / 商品专题页亮起，品牌故事页灰显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同一标题源被三个页面共享，品牌故事页是独立文案，不受影响</w:t>
            </w:r>
          </w:p>
        </w:tc>
        <w:tc>
          <w:tcPr>
            <w:tcW w:type="dxa" w:w="2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E-REF-001 / E-REF-002（占位，待 B）</w:t>
            </w:r>
          </w:p>
        </w:tc>
      </w:tr>
      <w:tr>
        <w:tc>
          <w:tcPr>
            <w:tcW w:type="dxa" w:w="1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00:47–01:08</w:t>
            </w:r>
          </w:p>
        </w:tc>
        <w:tc>
          <w:tcPr>
            <w:tcW w:type="dxa" w:w="2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三视口预演，放大秋季活动页 375×812：候选长标题与购买按钮重叠</w:t>
            </w:r>
          </w:p>
        </w:tc>
        <w:tc>
          <w:tcPr>
            <w:tcW w:type="dxa" w:w="2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桌面上没问题的改动，在手机上可能直接压住购买按钮</w:t>
            </w:r>
          </w:p>
        </w:tc>
        <w:tc>
          <w:tcPr>
            <w:tcW w:type="dxa" w:w="2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E-VIEW-001（占位，待 B）；风险红 #FF5D78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01:08–01:24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AI 证据解读卡逐段淡入，Evidence 芯片最后出现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AI 只读证据包，每条判断都能点开来源</w:t>
            </w:r>
          </w:p>
        </w:tc>
        <w:tc>
          <w:tcPr>
            <w:tcW w:type="dxa" w:w="2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芯片引用 E-REF / E-VIEW（占位）</w:t>
            </w:r>
          </w:p>
        </w:tc>
      </w:tr>
      <w:tr>
        <w:tc>
          <w:tcPr>
            <w:tcW w:type="dxa" w:w="1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01:24–01:44</w:t>
            </w:r>
          </w:p>
        </w:tc>
        <w:tc>
          <w:tcPr>
            <w:tcW w:type="dxa" w:w="2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Scope 双大卡：选择“只改首页”</w:t>
            </w:r>
          </w:p>
        </w:tc>
        <w:tc>
          <w:tcPr>
            <w:tcW w:type="dxa" w:w="2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不是保存，而是决定涟漪的范围</w:t>
            </w:r>
          </w:p>
        </w:tc>
        <w:tc>
          <w:tcPr>
            <w:tcW w:type="dxa" w:w="2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范围真值表由 D 验收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01:44–01:55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重新预演：关联线 3→1 收束，活动页恢复旧标题、风险消失，应用到草稿</w:t>
            </w:r>
          </w:p>
        </w:tc>
        <w:tc>
          <w:tcPr>
            <w:tcW w:type="dxa" w:w="2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只改首页，活动页不动，风险随之消失</w:t>
            </w:r>
          </w:p>
        </w:tc>
        <w:tc>
          <w:tcPr>
            <w:tcW w:type="dxa" w:w="24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01:55–02:00</w:t>
            </w:r>
          </w:p>
        </w:tc>
        <w:tc>
          <w:tcPr>
            <w:tcW w:type="dxa" w:w="2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版本胶片回退前一版，光轨收束为 Logo 与 Slogan</w:t>
            </w:r>
          </w:p>
        </w:tc>
        <w:tc>
          <w:tcPr>
            <w:tcW w:type="dxa" w:w="25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改动上线前，先看见波及</w:t>
            </w:r>
          </w:p>
        </w:tc>
        <w:tc>
          <w:tcPr>
            <w:tcW w:type="dxa" w:w="24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品牌收束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5.2 3–4 分钟完整版（在精华版基础上扩展）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青野线追加：Evidence 展开面板、Before/After 滑杆对照、Scope 切换到“同步 3 页”的对照结果、版本历史恢复，各 10–20 秒。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栖光线 20–40 秒：上传 4:5 新海报 → 三个媒体消费位置亮起 → 横幅 / 展墙 / 购票卡并排 → 放大裁切区域 → 人工确认 → 应用与恢复；引用 E-REF-003（占位）。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第三方线 20–40 秒：进入真实项目 → 选中品牌强调色 → 候选暖橙 → 消费位置联动 → 三视口前后对照 → 取消或应用；引用 E-REF-004（占位）。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5.3 录屏纪律（验收红线）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正式录屏不出现空白状态、假数据或未完成跳转；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概念效果图不得进入正式录屏画面；正式画面必须来自 A 的可运行版本与 B 的实测证据；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所有风险标注必须携带 B 的真实 Evidence ID，占位符画面一律不得入镜；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每镜头录屏前对照本清单检查时间码、画面状态与证据芯片。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思源黑体" w:hAnsi="Arial"/>
          <w:b/>
          <w:bCs/>
          <w:color w:val="0B1020"/>
          <w:sz w:val="32"/>
          <w:szCs w:val="32"/>
        </w:rPr>
        <w:t xml:space="preserve">六、案例展示稿规格说明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6.1 青野状态稿</w:t>
      </w:r>
    </w:p>
    <w:p>
      <w:pPr>
        <w:spacing w:after="140" w:line="320"/>
        <w:ind w:firstLine="431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内容：两页。第 1 页为“编辑选中态”——首页 Hero 标题“秋日灵感季”被选中（主强调紫 2px 描边 + 控制点），右侧涟漪面板列出三个共享页面与灰显的品牌故事页；第 2 页为“三视口风险聚焦态”——桌面与平板无异常（安全绿），移动端 375×812 候选长标题与购买按钮重叠（问题红描边 + 待验证徽标）。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用途：向 A 提供页面状态、文案与选中态规格；向录屏提供分镜底图。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证据标注：共享关系引用 E-REF-001 / E-REF-002（占位），375px 重叠引用 E-VIEW-001（占位）；页面标注“概念效果，非实测”。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已知限制：陶器摄影为 AI 生成的视觉参考素材；重叠风险为方案设定，未经实测。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6.2 栖光新旧海报</w:t>
      </w:r>
    </w:p>
    <w:p>
      <w:pPr>
        <w:spacing w:after="140" w:line="320"/>
        <w:ind w:firstLine="431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内容：两页。第 1 页为 16:9 横版旧海报（上一届视觉：靛紫夜空与光点）；第 2 页为 4:5 竖版新海报（本届视觉：高对比流体色带）。新旧对照对应“把共享主视觉从 16:9 横图替换为 4:5 竖图”的案例任务。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用途：媒体替换演示的素材本体；供 A 接入上传流程，供录屏做新旧对照。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证据标注：海报为 C 原创概念设计，属“视觉参考”类素材，不涉及实测证据。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已知限制：不代表任何真实艺术节品牌资产；文字层为可编辑文本，可在编辑器中直接修改。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6.3 三容器展示稿</w:t>
      </w:r>
    </w:p>
    <w:p>
      <w:pPr>
        <w:spacing w:after="140" w:line="320"/>
        <w:ind w:firstLine="431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内容：一页并排展示同一 4:5 新海报在三个容器中的呈现——首页横版 Hero（object-fit: cover，截取上下边缘）、节目页竖版展墙（完整呈现）、购票页固定卡（局部裁切）；每容器标注裁切范围与“构图是否合适需人工确认”。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用途：演示“同一图片在不同容器里的呈现差异”；支撑 Scope“只改节目页 / 同步三个位置”的决策讲解。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证据标注：共享媒体源关系引用 E-REF-003（占位）；裁切框为概念示意，真实裁切几何以 B 的实测为准。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已知限制：往届回顾页 /archive 使用独立素材，不在本稿范围内。</w:t>
      </w:r>
    </w:p>
    <w:p>
      <w:pPr>
        <w:pStyle w:val="Heading2"/>
        <w:spacing w:after="160" w:before="280"/>
      </w:pPr>
      <w:r>
        <w:rPr>
          <w:rFonts w:ascii="Arial" w:cs="Arial" w:eastAsia="思源黑体" w:hAnsi="Arial"/>
          <w:b/>
          <w:bCs/>
          <w:color w:val="745CFF"/>
          <w:sz w:val="26"/>
          <w:szCs w:val="26"/>
        </w:rPr>
        <w:t xml:space="preserve">6.4 第三方原站展示稿</w:t>
      </w:r>
    </w:p>
    <w:p>
      <w:pPr>
        <w:spacing w:after="140" w:line="320"/>
        <w:ind w:firstLine="431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内容：一页概念示意——候选开源仓库落地页的线框还原（保留原站字体、布局与气质的方向），品牌强调色由紫到暖橙的候选对照，按钮 / 标签 / 图标等待确认的消费位置以“未验证灰 + 注意橙”标注，不画成确定事实。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用途：色彩 Token 联动的入口与镜头底图。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证据标注：消费位置清单引用 E-REF-004（占位）；仓库 shadcnstore/shadcn-dashboard-landing-template 为候选接入中，待 B 提供仓库链接、commit、许可证与真实截图后替换本稿。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思源黑体" w:hAnsi="Arial"/>
          <w:color w:val="0B1020"/>
          <w:sz w:val="21"/>
          <w:szCs w:val="21"/>
        </w:rPr>
        <w:t xml:space="preserve">已知限制：本稿为线框概念示意，不是原站截图；不得用于正式录屏。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思源黑体" w:hAnsi="Arial"/>
          <w:b/>
          <w:bCs/>
          <w:color w:val="0B1020"/>
          <w:sz w:val="32"/>
          <w:szCs w:val="32"/>
        </w:rPr>
        <w:t xml:space="preserve">七、已知限制与风险登记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126"/>
      </w:tblGrid>
      <w:tr>
        <w:trPr>
          <w:tblHeader/>
        </w:trPr>
        <w:tc>
          <w:tcPr>
            <w:tcW w:type="dxa" w:w="9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36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限制 / 风险</w:t>
            </w:r>
          </w:p>
        </w:tc>
        <w:tc>
          <w:tcPr>
            <w:tcW w:type="dxa" w:w="24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2126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解除条件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R1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E-REF / E-VIEW 全部为占位符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含风险标注的画面不得进入正式录屏</w:t>
            </w:r>
          </w:p>
        </w:tc>
        <w:tc>
          <w:tcPr>
            <w:tcW w:type="dxa" w:w="2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B 交付真实 Evidence 索引后全局替换</w:t>
            </w:r>
          </w:p>
        </w:tc>
      </w:tr>
      <w:tr>
        <w:tc>
          <w:tcPr>
            <w:tcW w:type="dxa" w:w="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R2</w:t>
            </w:r>
          </w:p>
        </w:tc>
        <w:tc>
          <w:tcPr>
            <w:tcW w:type="dxa" w:w="3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第三方仓库为候选接入中</w:t>
            </w:r>
          </w:p>
        </w:tc>
        <w:tc>
          <w:tcPr>
            <w:tcW w:type="dxa" w:w="24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第三方原站展示稿仅为线框示意</w:t>
            </w:r>
          </w:p>
        </w:tc>
        <w:tc>
          <w:tcPr>
            <w:tcW w:type="dxa" w:w="21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B 完成仓库检查并提供真实截图与消费位置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R3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全部案例画面为概念效果图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不得冒充实测截图使用</w:t>
            </w:r>
          </w:p>
        </w:tc>
        <w:tc>
          <w:tcPr>
            <w:tcW w:type="dxa" w:w="2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A 可运行版本 + B 的 Playwright 实测产出</w:t>
            </w:r>
          </w:p>
        </w:tc>
      </w:tr>
      <w:tr>
        <w:tc>
          <w:tcPr>
            <w:tcW w:type="dxa" w:w="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R4</w:t>
            </w:r>
          </w:p>
        </w:tc>
        <w:tc>
          <w:tcPr>
            <w:tcW w:type="dxa" w:w="3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青野 375px 重叠风险为方案设定</w:t>
            </w:r>
          </w:p>
        </w:tc>
        <w:tc>
          <w:tcPr>
            <w:tcW w:type="dxa" w:w="24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仅作演示脚本，标注“待验证”</w:t>
            </w:r>
          </w:p>
        </w:tc>
        <w:tc>
          <w:tcPr>
            <w:tcW w:type="dxa" w:w="21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B 的三视口实测证据确认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R5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栖光海报为原创概念设计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不代表真实品牌资产</w:t>
            </w:r>
          </w:p>
        </w:tc>
        <w:tc>
          <w:tcPr>
            <w:tcW w:type="dxa" w:w="2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如需真实品牌，另行授权与替换</w:t>
            </w:r>
          </w:p>
        </w:tc>
      </w:tr>
      <w:tr>
        <w:tc>
          <w:tcPr>
            <w:tcW w:type="dxa" w:w="9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R6</w:t>
            </w:r>
          </w:p>
        </w:tc>
        <w:tc>
          <w:tcPr>
            <w:tcW w:type="dxa" w:w="36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青野辅助色（暖纸 / 陶土）为建议值</w:t>
            </w:r>
          </w:p>
        </w:tc>
        <w:tc>
          <w:tcPr>
            <w:tcW w:type="dxa" w:w="24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最终实现可能有偏差</w:t>
            </w:r>
          </w:p>
        </w:tc>
        <w:tc>
          <w:tcPr>
            <w:tcW w:type="dxa" w:w="21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A 实现时对齐并回填色值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思源黑体" w:hAnsi="Arial"/>
          <w:b/>
          <w:bCs/>
          <w:color w:val="0B1020"/>
          <w:sz w:val="32"/>
          <w:szCs w:val="32"/>
        </w:rPr>
        <w:t xml:space="preserve">附录：交接给 D 的文件路径表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6226"/>
            <w:shd w:fill="0B102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b/>
                <w:bCs/>
                <w:color w:val="FFFFFF"/>
                <w:sz w:val="19"/>
                <w:szCs w:val="19"/>
              </w:rPr>
              <w:t xml:space="preserve">文件路径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主规格文档（本文档）</w:t>
            </w:r>
          </w:p>
        </w:tc>
        <w:tc>
          <w:tcPr>
            <w:tcW w:type="dxa" w:w="6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ripple-c/Ripple_C_视觉规范与动效录屏清单_v0.1.0.docx</w:t>
            </w:r>
          </w:p>
        </w:tc>
      </w:tr>
      <w:tr>
        <w:tc>
          <w:tcPr>
            <w:tcW w:type="dxa" w:w="28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青野状态稿</w:t>
            </w:r>
          </w:p>
        </w:tc>
        <w:tc>
          <w:tcPr>
            <w:tcW w:type="dxa" w:w="62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ripple-c/青野状态稿/青野状态稿.kanva.pptd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栖光新旧海报</w:t>
            </w:r>
          </w:p>
        </w:tc>
        <w:tc>
          <w:tcPr>
            <w:tcW w:type="dxa" w:w="6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ripple-c/栖光新旧海报/栖光新旧海报.kanva.pptd</w:t>
            </w:r>
          </w:p>
        </w:tc>
      </w:tr>
      <w:tr>
        <w:tc>
          <w:tcPr>
            <w:tcW w:type="dxa" w:w="28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三容器展示稿</w:t>
            </w:r>
          </w:p>
        </w:tc>
        <w:tc>
          <w:tcPr>
            <w:tcW w:type="dxa" w:w="62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ripple-c/栖光三容器展示稿/栖光三容器展示稿.kanva.pptd</w:t>
            </w:r>
          </w:p>
        </w:tc>
      </w:tr>
      <w:tr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第三方原站展示稿</w:t>
            </w:r>
          </w:p>
        </w:tc>
        <w:tc>
          <w:tcPr>
            <w:tcW w:type="dxa" w:w="62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ripple-c/第三方原站展示稿/第三方原站展示稿.kanva.pptd</w:t>
            </w:r>
          </w:p>
        </w:tc>
      </w:tr>
      <w:tr>
        <w:tc>
          <w:tcPr>
            <w:tcW w:type="dxa" w:w="2800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每日提交（2026-10-12）</w:t>
            </w:r>
          </w:p>
        </w:tc>
        <w:tc>
          <w:tcPr>
            <w:tcW w:type="dxa" w:w="6226"/>
            <w:shd w:fill="F4F5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Arial" w:cs="Arial" w:eastAsia="思源黑体" w:hAnsi="Arial"/>
                <w:color w:val="0B1020"/>
                <w:sz w:val="19"/>
                <w:szCs w:val="19"/>
              </w:rPr>
              <w:t xml:space="preserve">ripple-c/docs/acceptance/2026-10-12/C.md</w:t>
            </w:r>
          </w:p>
        </w:tc>
      </w:tr>
    </w:tbl>
    <w:p>
      <w:pPr>
        <w:spacing w:after="120" w:line="280"/>
      </w:pPr>
      <w:r>
        <w:rPr>
          <w:rFonts w:ascii="Arial" w:cs="Arial" w:eastAsia="思源黑体" w:hAnsi="Arial"/>
          <w:i/>
          <w:iCs/>
          <w:color w:val="8A93A7"/>
          <w:sz w:val="18"/>
          <w:szCs w:val="18"/>
        </w:rPr>
        <w:t xml:space="preserve">协作交接：向 A 提供状态稿、素材、动效时序与文案；从 B 获取真实关系、截图与风险编号（E-REF / E-VIEW）；从 D 获取验收步骤、用户理解反馈与最终可用素材清单。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20"/>
      <w:jc w:val="center"/>
    </w:pPr>
    <w:r>
      <w:rPr>
        <w:rFonts w:ascii="Arial" w:cs="Arial" w:eastAsia="思源黑体" w:hAnsi="Arial"/>
        <w:color w:val="8A93A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 w:line="320"/>
      <w:jc w:val="center"/>
    </w:pPr>
    <w:r>
      <w:rPr>
        <w:rFonts w:ascii="Arial" w:cs="Arial" w:eastAsia="思源黑体" w:hAnsi="Arial"/>
        <w:color w:val="8A93A7"/>
        <w:sz w:val="18"/>
        <w:szCs w:val="18"/>
      </w:rPr>
      <w:t xml:space="preserve">涟漪 Ripple · C 组视觉交付包 v0.1.0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2026-10-12T04:22:54.750Z</dcterms:created>
  <dcterms:modified xsi:type="dcterms:W3CDTF">2026-10-12T04:22:54.757Z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