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第二周总体目标与协作执行手册</w:t>
      </w:r>
    </w:p>
    <w:p>
      <w:pPr>
        <w:jc w:val="center"/>
      </w:pPr>
      <w:r>
        <w:t>第二周执行周期：2026年9月21日—9月27日 23:59；9月26日18:00进入P0冻结</w:t>
      </w:r>
    </w:p>
    <w:p>
      <w:pPr>
        <w:pStyle w:val="Heading1"/>
      </w:pPr>
      <w:r>
        <w:t>一、总体目标</w:t>
      </w:r>
    </w:p>
    <w:p>
      <w:r>
        <w:t>本周采用“第一周缺口清零+第二周功能并行”。交付重点是验收闭环、B 定向接入、管理员发布链路、持久化用户功能、LAN/备份证据和最终演示。公网 HTTPS/CAS 只有在真实服务器、域名和回调配置齐备时推进，否则保留 LAN 证据并记录外部阻塞。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日期</w:t>
            </w:r>
          </w:p>
        </w:tc>
        <w:tc>
          <w:tcPr>
            <w:tcW w:type="dxa" w:w="3312"/>
            <w:shd w:fill="D9EAF7"/>
          </w:tcPr>
          <w:p>
            <w:r>
              <w:t>里程碑</w:t>
            </w:r>
          </w:p>
        </w:tc>
        <w:tc>
          <w:tcPr>
            <w:tcW w:type="dxa" w:w="3312"/>
            <w:shd w:fill="D9EAF7"/>
          </w:tcPr>
          <w:p>
            <w:r>
              <w:t>必须留下的证据</w:t>
            </w:r>
          </w:p>
        </w:tc>
      </w:tr>
      <w:tr>
        <w:tc>
          <w:tcPr>
            <w:tcW w:type="dxa" w:w="3312"/>
          </w:tcPr>
          <w:p>
            <w:r>
              <w:t>9/21</w:t>
            </w:r>
          </w:p>
        </w:tc>
        <w:tc>
          <w:tcPr>
            <w:tcW w:type="dxa" w:w="3312"/>
          </w:tcPr>
          <w:p>
            <w:r>
              <w:t>C 发布集成基线；A LAN；B 白名单迁移</w:t>
            </w:r>
          </w:p>
        </w:tc>
        <w:tc>
          <w:tcPr>
            <w:tcW w:type="dxa" w:w="3312"/>
          </w:tcPr>
          <w:p>
            <w:r>
              <w:t>分支 SHA、设备信息、允许目录清单</w:t>
            </w:r>
          </w:p>
        </w:tc>
      </w:tr>
      <w:tr>
        <w:tc>
          <w:tcPr>
            <w:tcW w:type="dxa" w:w="3312"/>
          </w:tcPr>
          <w:p>
            <w:r>
              <w:t>9/22</w:t>
            </w:r>
          </w:p>
        </w:tc>
        <w:tc>
          <w:tcPr>
            <w:tcW w:type="dxa" w:w="3312"/>
          </w:tcPr>
          <w:p>
            <w:r>
              <w:t>B 固定样本导入；C schema 草案</w:t>
            </w:r>
          </w:p>
        </w:tc>
        <w:tc>
          <w:tcPr>
            <w:tcW w:type="dxa" w:w="3312"/>
          </w:tcPr>
          <w:p>
            <w:r>
              <w:t>导入日志、行数、重复幂等结果</w:t>
            </w:r>
          </w:p>
        </w:tc>
      </w:tr>
      <w:tr>
        <w:tc>
          <w:tcPr>
            <w:tcW w:type="dxa" w:w="3312"/>
          </w:tcPr>
          <w:p>
            <w:r>
              <w:t>9/23</w:t>
            </w:r>
          </w:p>
        </w:tc>
        <w:tc>
          <w:tcPr>
            <w:tcW w:type="dxa" w:w="3312"/>
          </w:tcPr>
          <w:p>
            <w:r>
              <w:t>用户表/Repository/API 第一版；A 备份恢复</w:t>
            </w:r>
          </w:p>
        </w:tc>
        <w:tc>
          <w:tcPr>
            <w:tcW w:type="dxa" w:w="3312"/>
          </w:tcPr>
          <w:p>
            <w:r>
              <w:t>迁移 SQL、API 测试、恢复前后行数</w:t>
            </w:r>
          </w:p>
        </w:tc>
      </w:tr>
      <w:tr>
        <w:tc>
          <w:tcPr>
            <w:tcW w:type="dxa" w:w="3312"/>
          </w:tcPr>
          <w:p>
            <w:r>
              <w:t>9/24</w:t>
            </w:r>
          </w:p>
        </w:tc>
        <w:tc>
          <w:tcPr>
            <w:tcW w:type="dxa" w:w="3312"/>
          </w:tcPr>
          <w:p>
            <w:r>
              <w:t>个人中心；B 20 样本复评；A 生产配置</w:t>
            </w:r>
          </w:p>
        </w:tc>
        <w:tc>
          <w:tcPr>
            <w:tcW w:type="dxa" w:w="3312"/>
          </w:tcPr>
          <w:p>
            <w:r>
              <w:t>移动截图、归一化报告、条件式部署记录</w:t>
            </w:r>
          </w:p>
        </w:tc>
      </w:tr>
      <w:tr>
        <w:tc>
          <w:tcPr>
            <w:tcW w:type="dxa" w:w="3312"/>
          </w:tcPr>
          <w:p>
            <w:r>
              <w:t>9/25</w:t>
            </w:r>
          </w:p>
        </w:tc>
        <w:tc>
          <w:tcPr>
            <w:tcW w:type="dxa" w:w="3312"/>
          </w:tcPr>
          <w:p>
            <w:r>
              <w:t>完整演示链路与跨角色回归</w:t>
            </w:r>
          </w:p>
        </w:tc>
        <w:tc>
          <w:tcPr>
            <w:tcW w:type="dxa" w:w="3312"/>
          </w:tcPr>
          <w:p>
            <w:r>
              <w:t>录屏、Network 脱敏、跨用户隔离输出</w:t>
            </w:r>
          </w:p>
        </w:tc>
      </w:tr>
      <w:tr>
        <w:tc>
          <w:tcPr>
            <w:tcW w:type="dxa" w:w="3312"/>
          </w:tcPr>
          <w:p>
            <w:r>
              <w:t>9/26 18:00</w:t>
            </w:r>
          </w:p>
        </w:tc>
        <w:tc>
          <w:tcPr>
            <w:tcW w:type="dxa" w:w="3312"/>
          </w:tcPr>
          <w:p>
            <w:r>
              <w:t>P0 冻结</w:t>
            </w:r>
          </w:p>
        </w:tc>
        <w:tc>
          <w:tcPr>
            <w:tcW w:type="dxa" w:w="3312"/>
          </w:tcPr>
          <w:p>
            <w:r>
              <w:t>只允许修阻断、安全、权限、移动端、演示问题</w:t>
            </w:r>
          </w:p>
        </w:tc>
      </w:tr>
      <w:tr>
        <w:tc>
          <w:tcPr>
            <w:tcW w:type="dxa" w:w="3312"/>
          </w:tcPr>
          <w:p>
            <w:r>
              <w:t>9/27</w:t>
            </w:r>
          </w:p>
        </w:tc>
        <w:tc>
          <w:tcPr>
            <w:tcW w:type="dxa" w:w="3312"/>
          </w:tcPr>
          <w:p>
            <w:r>
              <w:t>独立审查、合并、打标签</w:t>
            </w:r>
          </w:p>
        </w:tc>
        <w:tc>
          <w:tcPr>
            <w:tcW w:type="dxa" w:w="3312"/>
          </w:tcPr>
          <w:p>
            <w:r>
              <w:t>审查报告、发布说明、最终录屏</w:t>
            </w:r>
          </w:p>
        </w:tc>
      </w:tr>
    </w:tbl>
    <w:p>
      <w:pPr>
        <w:pStyle w:val="Heading1"/>
      </w:pPr>
      <w:r>
        <w:t>二、分支与交接</w:t>
      </w:r>
    </w:p>
    <w:p>
      <w:pPr>
        <w:pStyle w:val="ListBullet"/>
      </w:pPr>
      <w:r>
        <w:t>集成基线为 feat/week1-core-search@473f812，建立 feat/week2-A-platform、feat/week2-B-quality、feat/week2-C-product、feat/week2-integration。</w:t>
      </w:r>
    </w:p>
    <w:p>
      <w:pPr>
        <w:pStyle w:val="ListBullet"/>
      </w:pPr>
      <w:r>
        <w:t>B 严格只迁移 app/extraction、tests/extraction、data/gold、reports/extraction、progress/week1/B、evidence/week1/B，不能整体合并旧 B 分支。</w:t>
      </w:r>
    </w:p>
    <w:p>
      <w:pPr>
        <w:pStyle w:val="ListBullet"/>
      </w:pPr>
      <w:r>
        <w:t>生产者必须提交 Commit、运行命令、实际值、证据路径；接收者记录接收 Commit、Schema/测试结果、问题和接收时间，每次交接至少保留四小时。</w:t>
      </w:r>
    </w:p>
    <w:p>
      <w:pPr>
        <w:pStyle w:val="Heading1"/>
      </w:pPr>
      <w:r>
        <w:t>三、总体验收门槛</w:t>
      </w:r>
    </w:p>
    <w:p>
      <w:pPr>
        <w:pStyle w:val="ListBullet"/>
      </w:pPr>
      <w:r>
        <w:t>传统搜索、详情、对比、统计、CSV/XLSX 导出在关闭 LLM 时仍可用；游客只看 published 与派生脱敏字段。</w:t>
      </w:r>
    </w:p>
    <w:p>
      <w:pPr>
        <w:pStyle w:val="ListBullet"/>
      </w:pPr>
      <w:r>
        <w:t>保存搜索只保存白名单 QueryPlan；提醒仅 off/daily/weekly；历史和推荐默认关闭，启用后最多保留90天。</w:t>
      </w:r>
    </w:p>
    <w:p>
      <w:pPr>
        <w:pStyle w:val="ListBullet"/>
      </w:pPr>
      <w:r>
        <w:t>X-Incognito-Mode: 1 不写历史、筛选、点击、对比、导出或推荐信号；删除历史后不继续参与画像。</w:t>
      </w:r>
    </w:p>
    <w:p>
      <w:pPr>
        <w:pStyle w:val="ListBullet"/>
      </w:pPr>
      <w:r>
        <w:t>B 本周以归一化口径作为验收主口径；同一20样本、同一 SHA-256、同一 gold 不变，严格逐样本结果保留为审计附件；多模态仍未过门槛则保持不启用。</w:t>
      </w:r>
    </w:p>
    <w:p>
      <w:pPr>
        <w:pStyle w:val="Heading1"/>
      </w:pPr>
      <w:r>
        <w:t>四、最终演示</w:t>
      </w:r>
    </w:p>
    <w:p>
      <w:r>
        <w:t>依次演示 /healthz 与行数、游客传统搜索和证据、AI 搜索降级、对比导出、保存搜索/每周提醒、published 导入通知、隐私中心、无痕搜索、角色切换与越权拒绝、390×844/768×1024 页面、B 归一化评测与不启用多模态、LAN 访问和同步中断恢复。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