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角色 C 数据库检索整合任务书</w:t>
      </w:r>
    </w:p>
    <w:p>
      <w:pPr>
        <w:spacing w:after="280"/>
      </w:pPr>
      <w:r>
        <w:rPr>
          <w:rFonts w:ascii="Arial" w:hAnsi="Arial" w:eastAsia="Microsoft YaHei"/>
          <w:b w:val="0"/>
          <w:color w:val="4B5563"/>
          <w:sz w:val="22"/>
        </w:rPr>
        <w:t>SQLite  RolePolicy  Evidence-RAG  HTTPS部署  项目总和</w:t>
      </w:r>
    </w:p>
    <w:p>
      <w:pPr>
        <w:spacing w:after="320"/>
      </w:pPr>
      <w:r>
        <w:rPr>
          <w:rFonts w:ascii="Arial" w:hAnsi="Arial" w:eastAsia="Microsoft YaHei"/>
          <w:b w:val="0"/>
          <w:color w:val="4B5563"/>
          <w:sz w:val="19"/>
        </w:rPr>
        <w:t>执行周期  2026年9月16日至9月20日    截止时间  9月20日23:59</w:t>
      </w:r>
    </w:p>
    <w:p>
      <w:r>
        <w:rPr>
          <w:rFonts w:ascii="Arial" w:hAnsi="Arial" w:eastAsia="Microsoft YaHei"/>
          <w:b w:val="0"/>
          <w:color w:val="1F2937"/>
          <w:sz w:val="21"/>
        </w:rPr>
        <w:t>角色C先把接口和项目骨架交给A、B，再并行完成数据库和网页。整合时允许为上游结果增加适配层，但不能默默改写A、B的事实、证据或评测结果。</w:t>
      </w:r>
    </w:p>
    <w:p>
      <w:pPr>
        <w:pStyle w:val="Heading1"/>
      </w:pPr>
      <w:r>
        <w:t>交付结果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68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11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130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截止</w:t>
            </w:r>
          </w:p>
        </w:tc>
        <w:tc>
          <w:tcPr>
            <w:tcW w:type="dxa" w:w="1247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使用者</w:t>
            </w:r>
          </w:p>
        </w:tc>
        <w:tc>
          <w:tcPr>
            <w:tcW w:type="dxa" w:w="2721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硬指标</w:t>
            </w:r>
          </w:p>
        </w:tc>
      </w:tr>
      <w:tr>
        <w:tc>
          <w:tcPr>
            <w:tcW w:type="dxa" w:w="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C1</w:t>
            </w:r>
          </w:p>
        </w:tc>
        <w:tc>
          <w:tcPr>
            <w:tcW w:type="dxa" w:w="311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数据字典、两份Schema和项目骨架</w:t>
            </w:r>
          </w:p>
        </w:tc>
        <w:tc>
          <w:tcPr>
            <w:tcW w:type="dxa" w:w="1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17日12:00</w:t>
            </w:r>
          </w:p>
        </w:tc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A、B</w:t>
            </w:r>
          </w:p>
        </w:tc>
        <w:tc>
          <w:tcPr>
            <w:tcW w:type="dxa" w:w="272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示例通过，未知字段被拒绝</w:t>
            </w:r>
          </w:p>
        </w:tc>
      </w:tr>
      <w:tr>
        <w:tc>
          <w:tcPr>
            <w:tcW w:type="dxa" w:w="68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C2</w:t>
            </w:r>
          </w:p>
        </w:tc>
        <w:tc>
          <w:tcPr>
            <w:tcW w:type="dxa" w:w="311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SQLite建表与固定样本导入</w:t>
            </w:r>
          </w:p>
        </w:tc>
        <w:tc>
          <w:tcPr>
            <w:tcW w:type="dxa" w:w="130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17日22:00</w:t>
            </w:r>
          </w:p>
        </w:tc>
        <w:tc>
          <w:tcPr>
            <w:tcW w:type="dxa" w:w="1247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全组</w:t>
            </w:r>
          </w:p>
        </w:tc>
        <w:tc>
          <w:tcPr>
            <w:tcW w:type="dxa" w:w="272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一帖多人、证据和状态可查询</w:t>
            </w:r>
          </w:p>
        </w:tc>
      </w:tr>
      <w:tr>
        <w:tc>
          <w:tcPr>
            <w:tcW w:type="dxa" w:w="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C3</w:t>
            </w:r>
          </w:p>
        </w:tc>
        <w:tc>
          <w:tcPr>
            <w:tcW w:type="dxa" w:w="311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传统查询、三角色详情和证据页面</w:t>
            </w:r>
          </w:p>
        </w:tc>
        <w:tc>
          <w:tcPr>
            <w:tcW w:type="dxa" w:w="1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18日22:00</w:t>
            </w:r>
          </w:p>
        </w:tc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演示用户</w:t>
            </w:r>
          </w:p>
        </w:tc>
        <w:tc>
          <w:tcPr>
            <w:tcW w:type="dxa" w:w="272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guest脱敏，student/teacher与admin由服务端授权</w:t>
            </w:r>
          </w:p>
        </w:tc>
      </w:tr>
      <w:tr>
        <w:tc>
          <w:tcPr>
            <w:tcW w:type="dxa" w:w="68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C4</w:t>
            </w:r>
          </w:p>
        </w:tc>
        <w:tc>
          <w:tcPr>
            <w:tcW w:type="dxa" w:w="311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A/B整合与Evidence-RAG</w:t>
            </w:r>
          </w:p>
        </w:tc>
        <w:tc>
          <w:tcPr>
            <w:tcW w:type="dxa" w:w="130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19日18:00</w:t>
            </w:r>
          </w:p>
        </w:tc>
        <w:tc>
          <w:tcPr>
            <w:tcW w:type="dxa" w:w="1247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全组</w:t>
            </w:r>
          </w:p>
        </w:tc>
        <w:tc>
          <w:tcPr>
            <w:tcW w:type="dxa" w:w="272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固定5篇三路径主链跑通</w:t>
            </w:r>
          </w:p>
        </w:tc>
      </w:tr>
      <w:tr>
        <w:tc>
          <w:tcPr>
            <w:tcW w:type="dxa" w:w="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C5</w:t>
            </w:r>
          </w:p>
        </w:tc>
        <w:tc>
          <w:tcPr>
            <w:tcW w:type="dxa" w:w="311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公共HTTPS、局域网灾备、移动端和录屏</w:t>
            </w:r>
          </w:p>
        </w:tc>
        <w:tc>
          <w:tcPr>
            <w:tcW w:type="dxa" w:w="1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20日15:00</w:t>
            </w:r>
          </w:p>
        </w:tc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验收人</w:t>
            </w:r>
          </w:p>
        </w:tc>
        <w:tc>
          <w:tcPr>
            <w:tcW w:type="dxa" w:w="272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健康检查通过，30次查询&lt;1秒</w:t>
            </w:r>
          </w:p>
        </w:tc>
      </w:tr>
    </w:tbl>
    <w:p>
      <w:pPr>
        <w:spacing w:after="40"/>
      </w:pPr>
    </w:p>
    <w:p>
      <w:pPr>
        <w:pStyle w:val="Heading1"/>
      </w:pPr>
      <w:r>
        <w:t>开始前</w:t>
      </w:r>
    </w:p>
    <w:p>
      <w:pPr>
        <w:spacing w:after="60"/>
        <w:ind w:left="170" w:hanging="170"/>
      </w:pPr>
      <w:r>
        <w:rPr>
          <w:rFonts w:ascii="Arial" w:hAnsi="Arial" w:eastAsia="Microsoft YaHei"/>
          <w:b w:val="0"/>
          <w:color w:val="1F2937"/>
          <w:sz w:val="21"/>
        </w:rPr>
        <w:t>□  从main新建feat/week1-core-search，阅读README、ARCHITECTURE、TEAM_RULES和现有静态原型。</w:t>
      </w:r>
    </w:p>
    <w:p>
      <w:pPr>
        <w:spacing w:after="60"/>
        <w:ind w:left="170" w:hanging="170"/>
      </w:pPr>
      <w:r>
        <w:rPr>
          <w:rFonts w:ascii="Arial" w:hAnsi="Arial" w:eastAsia="Microsoft YaHei"/>
          <w:b w:val="0"/>
          <w:color w:val="1F2937"/>
          <w:sz w:val="21"/>
        </w:rPr>
        <w:t>□  确认docs/week1/04_接口与数据字典.md和两份Schema是唯一公共格式。A、B确认后冻结1.0版。</w:t>
      </w:r>
    </w:p>
    <w:p>
      <w:pPr>
        <w:spacing w:after="60"/>
        <w:ind w:left="170" w:hanging="170"/>
      </w:pPr>
      <w:r>
        <w:rPr>
          <w:rFonts w:ascii="Arial" w:hAnsi="Arial" w:eastAsia="Microsoft YaHei"/>
          <w:b w:val="0"/>
          <w:color w:val="1F2937"/>
          <w:sz w:val="21"/>
        </w:rPr>
        <w:t>□  在目标Python环境测试SQLite版本、FTS5和trigram；若trigram不可用，保留FTS5和归一化LIKE回退。</w:t>
      </w:r>
    </w:p>
    <w:p>
      <w:pPr>
        <w:spacing w:after="60"/>
        <w:ind w:left="170" w:hanging="170"/>
      </w:pPr>
      <w:r>
        <w:rPr>
          <w:rFonts w:ascii="Arial" w:hAnsi="Arial" w:eastAsia="Microsoft YaHei"/>
          <w:b w:val="0"/>
          <w:color w:val="1F2937"/>
          <w:sz w:val="21"/>
        </w:rPr>
        <w:t>□  建立progress/week1/C/PROGRESS.md和BLOCKED.md。根依赖、Schema、共享文档和验收台账只由C修改。</w:t>
      </w:r>
    </w:p>
    <w:p>
      <w:pPr>
        <w:pStyle w:val="Heading1"/>
      </w:pPr>
      <w:r>
        <w:t>项目骨架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81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目录</w:t>
            </w:r>
          </w:p>
        </w:tc>
        <w:tc>
          <w:tcPr>
            <w:tcW w:type="dxa" w:w="408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3175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禁止放入</w:t>
            </w:r>
          </w:p>
        </w:tc>
      </w:tr>
      <w:t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app/domain</w:t>
            </w:r>
          </w:p>
        </w:tc>
        <w:tc>
          <w:tcPr>
            <w:tcW w:type="dxa" w:w="40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实体、状态枚举、QueryPlan、RolePolicy、DTO和公共接口</w:t>
            </w:r>
          </w:p>
        </w:tc>
        <w:tc>
          <w:tcPr>
            <w:tcW w:type="dxa" w:w="317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HTTP、SQLite语句、模板渲染</w:t>
            </w:r>
          </w:p>
        </w:tc>
      </w:tr>
      <w:tr>
        <w:tc>
          <w:tcPr>
            <w:tcW w:type="dxa" w:w="181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app/repository</w:t>
            </w:r>
          </w:p>
        </w:tc>
        <w:tc>
          <w:tcPr>
            <w:tcW w:type="dxa" w:w="408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SQLite建表、迁移、导入和查询实现</w:t>
            </w:r>
          </w:p>
        </w:tc>
        <w:tc>
          <w:tcPr>
            <w:tcW w:type="dxa" w:w="317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门户登录和OCR实现</w:t>
            </w:r>
          </w:p>
        </w:tc>
      </w:tr>
      <w:t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app/search</w:t>
            </w:r>
          </w:p>
        </w:tc>
        <w:tc>
          <w:tcPr>
            <w:tcW w:type="dxa" w:w="40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结构化过滤、FTS5、LIKE回退、排序</w:t>
            </w:r>
          </w:p>
        </w:tc>
        <w:tc>
          <w:tcPr>
            <w:tcW w:type="dxa" w:w="317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直接调用模型生成SQL</w:t>
            </w:r>
          </w:p>
        </w:tc>
      </w:tr>
      <w:tr>
        <w:tc>
          <w:tcPr>
            <w:tcW w:type="dxa" w:w="181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app/web</w:t>
            </w:r>
          </w:p>
        </w:tc>
        <w:tc>
          <w:tcPr>
            <w:tcW w:type="dxa" w:w="408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Flask路由、输入校验、角色与公开DTO</w:t>
            </w:r>
          </w:p>
        </w:tc>
        <w:tc>
          <w:tcPr>
            <w:tcW w:type="dxa" w:w="317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受限资源路径和业务推测</w:t>
            </w:r>
          </w:p>
        </w:tc>
      </w:tr>
      <w:t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templates/static</w:t>
            </w:r>
          </w:p>
        </w:tc>
        <w:tc>
          <w:tcPr>
            <w:tcW w:type="dxa" w:w="40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现有原型的Jinja2页面、CSS和浏览器交互</w:t>
            </w:r>
          </w:p>
        </w:tc>
        <w:tc>
          <w:tcPr>
            <w:tcW w:type="dxa" w:w="317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真实数据、权限判断和客户端假脱敏</w:t>
            </w:r>
          </w:p>
        </w:tc>
      </w:tr>
      <w:tr>
        <w:tc>
          <w:tcPr>
            <w:tcW w:type="dxa" w:w="181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schemas/docs</w:t>
            </w:r>
          </w:p>
        </w:tc>
        <w:tc>
          <w:tcPr>
            <w:tcW w:type="dxa" w:w="408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共享契约、运行说明和验收材料</w:t>
            </w:r>
          </w:p>
        </w:tc>
        <w:tc>
          <w:tcPr>
            <w:tcW w:type="dxa" w:w="317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Cookie、密钥、原始海报和未脱敏库</w:t>
            </w:r>
          </w:p>
        </w:tc>
      </w:tr>
    </w:tbl>
    <w:p>
      <w:pPr>
        <w:spacing w:after="40"/>
      </w:pPr>
    </w:p>
    <w:p>
      <w:pPr>
        <w:pStyle w:val="Heading1"/>
      </w:pPr>
      <w:r>
        <w:t>数据库</w:t>
      </w:r>
    </w:p>
    <w:p>
      <w:r>
        <w:rPr>
          <w:rFonts w:ascii="Arial" w:hAnsi="Arial" w:eastAsia="Microsoft YaHei"/>
          <w:b w:val="0"/>
          <w:color w:val="1F2937"/>
          <w:sz w:val="21"/>
        </w:rPr>
        <w:t>SQLite至少包含articles、assets、experience_records、evidence和processing_events。notice_id与record_key设唯一约束；人物记录必须关联文章，证据必须关联人物记录和字段。受控领域层可保留姓名、头像、原图引用和CAS来源链接，但这些私有字段不得进入Git样本或guest DTO。处理状态与发布状态visibility分离，只有人工确认且published的记录进入guest和student/teacher查询，review_required默认仅进入admin复核队列。重复导入执行upsert，不能因为上游重跑产生新行。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701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表</w:t>
            </w:r>
          </w:p>
        </w:tc>
        <w:tc>
          <w:tcPr>
            <w:tcW w:type="dxa" w:w="4819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第一周必须字段</w:t>
            </w:r>
          </w:p>
        </w:tc>
        <w:tc>
          <w:tcPr>
            <w:tcW w:type="dxa" w:w="2551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关键约束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articles</w:t>
            </w:r>
          </w:p>
        </w:tc>
        <w:tc>
          <w:tcPr>
            <w:tcW w:type="dxa" w:w="481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notice_id、title、source_url、published_at、content_type、status、failure_reason</w:t>
            </w:r>
          </w:p>
        </w:tc>
        <w:tc>
          <w:tcPr>
            <w:tcW w:type="dxa" w:w="25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notice_id唯一</w:t>
            </w:r>
          </w:p>
        </w:tc>
      </w:tr>
      <w:tr>
        <w:tc>
          <w:tcPr>
            <w:tcW w:type="dxa" w:w="170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assets</w:t>
            </w:r>
          </w:p>
        </w:tc>
        <w:tc>
          <w:tcPr>
            <w:tcW w:type="dxa" w:w="4819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asset_id、notice_id、kind、private_ref、sha256、derived_ref</w:t>
            </w:r>
          </w:p>
        </w:tc>
        <w:tc>
          <w:tcPr>
            <w:tcW w:type="dxa" w:w="255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公开DTO不返回private_ref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experience_records</w:t>
            </w:r>
          </w:p>
        </w:tc>
        <w:tc>
          <w:tcPr>
            <w:tcW w:type="dxa" w:w="481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record_key、notice_id、七个业务字段、status、confidence</w:t>
            </w:r>
          </w:p>
        </w:tc>
        <w:tc>
          <w:tcPr>
            <w:tcW w:type="dxa" w:w="25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record_key唯一，一帖多人</w:t>
            </w:r>
          </w:p>
        </w:tc>
      </w:tr>
      <w:tr>
        <w:tc>
          <w:tcPr>
            <w:tcW w:type="dxa" w:w="170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evidence</w:t>
            </w:r>
          </w:p>
        </w:tc>
        <w:tc>
          <w:tcPr>
            <w:tcW w:type="dxa" w:w="4819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record_key、field、text、method、asset_id、bbox</w:t>
            </w:r>
          </w:p>
        </w:tc>
        <w:tc>
          <w:tcPr>
            <w:tcW w:type="dxa" w:w="255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非空字段应有可追溯证据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processing_events</w:t>
            </w:r>
          </w:p>
        </w:tc>
        <w:tc>
          <w:tcPr>
            <w:tcW w:type="dxa" w:w="481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notice_id、stage、status、reason、created_at</w:t>
            </w:r>
          </w:p>
        </w:tc>
        <w:tc>
          <w:tcPr>
            <w:tcW w:type="dxa" w:w="25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失败和恢复过程可追踪</w:t>
            </w:r>
          </w:p>
        </w:tc>
      </w:tr>
    </w:tbl>
    <w:p>
      <w:pPr>
        <w:spacing w:after="40"/>
      </w:pPr>
    </w:p>
    <w:p>
      <w:pPr>
        <w:pStyle w:val="Heading1"/>
      </w:pPr>
      <w:r>
        <w:t>检索服务</w:t>
      </w:r>
    </w:p>
    <w:p>
      <w:pPr>
        <w:spacing w:after="80"/>
        <w:ind w:left="312" w:hanging="255"/>
      </w:pPr>
      <w:r>
        <w:rPr>
          <w:rFonts w:ascii="Arial" w:hAnsi="Arial" w:eastAsia="Microsoft YaHei"/>
          <w:b w:val="0"/>
          <w:color w:val="1F2937"/>
          <w:sz w:val="21"/>
        </w:rPr>
        <w:t>1.  结构化字段先做精确或归一化匹配。标题、正文和证据使用FTS5召回；中文短词召回不足时使用有界LIKE回退。</w:t>
      </w:r>
    </w:p>
    <w:p>
      <w:pPr>
        <w:spacing w:after="80"/>
        <w:ind w:left="312" w:hanging="255"/>
      </w:pPr>
      <w:r>
        <w:rPr>
          <w:rFonts w:ascii="Arial" w:hAnsi="Arial" w:eastAsia="Microsoft YaHei"/>
          <w:b w:val="0"/>
          <w:color w:val="1F2937"/>
          <w:sz w:val="21"/>
        </w:rPr>
        <w:t>2.  GET /api/search只接受cohort、education、college、major、city、position_or_unit、keywords、page和page_size。未知字段返回4xx。</w:t>
      </w:r>
    </w:p>
    <w:p>
      <w:pPr>
        <w:spacing w:after="80"/>
        <w:ind w:left="312" w:hanging="255"/>
      </w:pPr>
      <w:r>
        <w:rPr>
          <w:rFonts w:ascii="Arial" w:hAnsi="Arial" w:eastAsia="Microsoft YaHei"/>
          <w:b w:val="0"/>
          <w:color w:val="1F2937"/>
          <w:sz w:val="21"/>
        </w:rPr>
        <w:t>3.  空条件显示最新记录和常用筛选；无结果保留原条件并列出可取消项，不自动扩大范围后假装命中。</w:t>
      </w:r>
    </w:p>
    <w:p>
      <w:pPr>
        <w:spacing w:after="80"/>
        <w:ind w:left="312" w:hanging="255"/>
      </w:pPr>
      <w:r>
        <w:rPr>
          <w:rFonts w:ascii="Arial" w:hAnsi="Arial" w:eastAsia="Microsoft YaHei"/>
          <w:b w:val="0"/>
          <w:color w:val="1F2937"/>
          <w:sz w:val="21"/>
        </w:rPr>
        <w:t>4.  结果返回匹配原因、来源、复核状态和证据摘要。通过RolePolicy和Presenter生成guest、student/teacher、admin DTO，禁止只在前端隐藏私有字段。</w:t>
      </w:r>
    </w:p>
    <w:p>
      <w:pPr>
        <w:pStyle w:val="Heading1"/>
      </w:pPr>
      <w:r>
        <w:t>Evidence-RAG 与降级</w:t>
      </w:r>
    </w:p>
    <w:p>
      <w:r>
        <w:rPr>
          <w:rFonts w:ascii="Arial" w:hAnsi="Arial" w:eastAsia="Microsoft YaHei"/>
          <w:b w:val="0"/>
          <w:color w:val="1F2937"/>
          <w:sz w:val="21"/>
        </w:rPr>
        <w:t>POST /api/query/parse把输入转换为白名单QueryPlan，POST /api/query/answer基于QueryPlan检索B的evidence pack并返回带字段证据引用的结果或回答。模型只能使用检索到的证据，不得生成SQL或补全缺失字段；无证据返回“证据不足”。模型不可用时返回degraded状态并调用同一SearchService。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381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输入情况</w:t>
            </w:r>
          </w:p>
        </w:tc>
        <w:tc>
          <w:tcPr>
            <w:tcW w:type="dxa" w:w="3515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系统结果</w:t>
            </w:r>
          </w:p>
        </w:tc>
        <w:tc>
          <w:tcPr>
            <w:tcW w:type="dxa" w:w="3175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页面表现</w:t>
            </w:r>
          </w:p>
        </w:tc>
      </w:tr>
      <w:tr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可解析结构化条件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合法QueryPlan</w:t>
            </w:r>
          </w:p>
        </w:tc>
        <w:tc>
          <w:tcPr>
            <w:tcW w:type="dxa" w:w="317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显示可修改条件标签</w:t>
            </w:r>
          </w:p>
        </w:tc>
      </w:tr>
      <w:tr>
        <w:tc>
          <w:tcPr>
            <w:tcW w:type="dxa" w:w="238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含未知条件</w:t>
            </w:r>
          </w:p>
        </w:tc>
        <w:tc>
          <w:tcPr>
            <w:tcW w:type="dxa" w:w="351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忽略未知项或返回校验错误</w:t>
            </w:r>
          </w:p>
        </w:tc>
        <w:tc>
          <w:tcPr>
            <w:tcW w:type="dxa" w:w="317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说明未采用的条件</w:t>
            </w:r>
          </w:p>
        </w:tc>
      </w:tr>
      <w:tr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模型不可用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关键词与词典降级计划</w:t>
            </w:r>
          </w:p>
        </w:tc>
        <w:tc>
          <w:tcPr>
            <w:tcW w:type="dxa" w:w="317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显示降级提示，传统结果保留</w:t>
            </w:r>
          </w:p>
        </w:tc>
      </w:tr>
      <w:tr>
        <w:tc>
          <w:tcPr>
            <w:tcW w:type="dxa" w:w="238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证据缺失</w:t>
            </w:r>
          </w:p>
        </w:tc>
        <w:tc>
          <w:tcPr>
            <w:tcW w:type="dxa" w:w="351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不生成事实性回答</w:t>
            </w:r>
          </w:p>
        </w:tc>
        <w:tc>
          <w:tcPr>
            <w:tcW w:type="dxa" w:w="317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显示证据不足和待复核记录</w:t>
            </w:r>
          </w:p>
        </w:tc>
      </w:tr>
      <w:tr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空输入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最新记录计划</w:t>
            </w:r>
          </w:p>
        </w:tc>
        <w:tc>
          <w:tcPr>
            <w:tcW w:type="dxa" w:w="317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显示常用筛选</w:t>
            </w:r>
          </w:p>
        </w:tc>
      </w:tr>
      <w:tr>
        <w:tc>
          <w:tcPr>
            <w:tcW w:type="dxa" w:w="238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无结果</w:t>
            </w:r>
          </w:p>
        </w:tc>
        <w:tc>
          <w:tcPr>
            <w:tcW w:type="dxa" w:w="351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空结果和可取消限制</w:t>
            </w:r>
          </w:p>
        </w:tc>
        <w:tc>
          <w:tcPr>
            <w:tcW w:type="dxa" w:w="317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不生成不存在的答案</w:t>
            </w:r>
          </w:p>
        </w:tc>
      </w:tr>
    </w:tbl>
    <w:p>
      <w:pPr>
        <w:spacing w:after="40"/>
      </w:pPr>
    </w:p>
    <w:p>
      <w:pPr>
        <w:pStyle w:val="Heading1"/>
      </w:pPr>
      <w:r>
        <w:t>页面迁移</w:t>
      </w:r>
    </w:p>
    <w:p>
      <w:r>
        <w:rPr>
          <w:rFonts w:ascii="Arial" w:hAnsi="Arial" w:eastAsia="Microsoft YaHei"/>
          <w:b w:val="0"/>
          <w:color w:val="1F2937"/>
          <w:sz w:val="21"/>
        </w:rPr>
        <w:t>保留当前静态原型的版式、搜索切换、QueryPlan、结果列表、详情、复核状态和证据对照。把app.js中的3条虚构记录替换为服务端DTO，不重新设计与检索无关的页面。游客只能看到服务端生成的脱敏字段和派生资源，student/teacher经CAS/SSO查看授权完整视图，admin才可同步、复核、发布和查看日志。</w:t>
      </w:r>
    </w:p>
    <w:p>
      <w:pPr>
        <w:spacing w:after="60"/>
        <w:ind w:left="170" w:hanging="170"/>
      </w:pPr>
      <w:r>
        <w:rPr>
          <w:rFonts w:ascii="Arial" w:hAnsi="Arial" w:eastAsia="Microsoft YaHei"/>
          <w:b w:val="0"/>
          <w:color w:val="1F2937"/>
          <w:sz w:val="21"/>
        </w:rPr>
        <w:t>□  首页显示项目范围、实际数据量、最后更新时间、传统和自然语言入口。</w:t>
      </w:r>
    </w:p>
    <w:p>
      <w:pPr>
        <w:spacing w:after="60"/>
        <w:ind w:left="170" w:hanging="170"/>
      </w:pPr>
      <w:r>
        <w:rPr>
          <w:rFonts w:ascii="Arial" w:hAnsi="Arial" w:eastAsia="Microsoft YaHei"/>
          <w:b w:val="0"/>
          <w:color w:val="1F2937"/>
          <w:sz w:val="21"/>
        </w:rPr>
        <w:t>□  结果页显示关键字段、来源、匹配原因、复核状态和缩略图或安全占位图。</w:t>
      </w:r>
    </w:p>
    <w:p>
      <w:pPr>
        <w:spacing w:after="60"/>
        <w:ind w:left="170" w:hanging="170"/>
      </w:pPr>
      <w:r>
        <w:rPr>
          <w:rFonts w:ascii="Arial" w:hAnsi="Arial" w:eastAsia="Microsoft YaHei"/>
          <w:b w:val="0"/>
          <w:color w:val="1F2937"/>
          <w:sz w:val="21"/>
        </w:rPr>
        <w:t>□  详情页桌面左右分栏、移动上下排列，结构化字段与证据相邻。</w:t>
      </w:r>
    </w:p>
    <w:p>
      <w:pPr>
        <w:spacing w:after="60"/>
        <w:ind w:left="170" w:hanging="170"/>
      </w:pPr>
      <w:r>
        <w:rPr>
          <w:rFonts w:ascii="Arial" w:hAnsi="Arial" w:eastAsia="Microsoft YaHei"/>
          <w:b w:val="0"/>
          <w:color w:val="1F2937"/>
          <w:sz w:val="21"/>
        </w:rPr>
        <w:t>□  错误和降级有明确文字，搜索条件不因失败而丢失。</w:t>
      </w:r>
    </w:p>
    <w:p>
      <w:pPr>
        <w:spacing w:after="60"/>
        <w:ind w:left="170" w:hanging="170"/>
      </w:pPr>
      <w:r>
        <w:rPr>
          <w:rFonts w:ascii="Arial" w:hAnsi="Arial" w:eastAsia="Microsoft YaHei"/>
          <w:b w:val="0"/>
          <w:color w:val="1F2937"/>
          <w:sz w:val="21"/>
        </w:rPr>
        <w:t>□  CSV导出只包含当前公开DTO允许的字段。</w:t>
      </w:r>
    </w:p>
    <w:p>
      <w:pPr>
        <w:spacing w:after="60"/>
        <w:ind w:left="170" w:hanging="170"/>
      </w:pPr>
      <w:r>
        <w:rPr>
          <w:rFonts w:ascii="Arial" w:hAnsi="Arial" w:eastAsia="Microsoft YaHei"/>
          <w:b w:val="0"/>
          <w:color w:val="1F2937"/>
          <w:sz w:val="21"/>
        </w:rPr>
        <w:t>□  390×844和768×1024视口无横向溢出，筛选、详情、证据展开和角色切换可触控。</w:t>
      </w:r>
    </w:p>
    <w:p>
      <w:pPr>
        <w:pStyle w:val="Heading1"/>
      </w:pPr>
      <w:r>
        <w:t>整合顺序</w:t>
      </w:r>
    </w:p>
    <w:p>
      <w:pPr>
        <w:spacing w:after="80"/>
        <w:ind w:left="312" w:hanging="255"/>
      </w:pPr>
      <w:r>
        <w:rPr>
          <w:rFonts w:ascii="Arial" w:hAnsi="Arial" w:eastAsia="Microsoft YaHei"/>
          <w:b w:val="0"/>
          <w:color w:val="1F2937"/>
          <w:sz w:val="21"/>
        </w:rPr>
        <w:t>1.  用自建合法夹具先验证数据库和页面，不等待A/B；夹具必须标记为测试数据，不能进入演示实绩。</w:t>
      </w:r>
    </w:p>
    <w:p>
      <w:pPr>
        <w:spacing w:after="80"/>
        <w:ind w:left="312" w:hanging="255"/>
      </w:pPr>
      <w:r>
        <w:rPr>
          <w:rFonts w:ascii="Arial" w:hAnsi="Arial" w:eastAsia="Microsoft YaHei"/>
          <w:b w:val="0"/>
          <w:color w:val="1F2937"/>
          <w:sz w:val="21"/>
        </w:rPr>
        <w:t>2.  导入A的5篇article bundle，记录成功、失败和重复数量。Schema错误原样反馈给A。</w:t>
      </w:r>
    </w:p>
    <w:p>
      <w:pPr>
        <w:spacing w:after="80"/>
        <w:ind w:left="312" w:hanging="255"/>
      </w:pPr>
      <w:r>
        <w:rPr>
          <w:rFonts w:ascii="Arial" w:hAnsi="Arial" w:eastAsia="Microsoft YaHei"/>
          <w:b w:val="0"/>
          <w:color w:val="1F2937"/>
          <w:sz w:val="21"/>
        </w:rPr>
        <w:t>3.  导入B的5篇extraction bundle和evidence pack，检查文章外键、一帖多人、null、证据和review_required。</w:t>
      </w:r>
    </w:p>
    <w:p>
      <w:pPr>
        <w:spacing w:after="80"/>
        <w:ind w:left="312" w:hanging="255"/>
      </w:pPr>
      <w:r>
        <w:rPr>
          <w:rFonts w:ascii="Arial" w:hAnsi="Arial" w:eastAsia="Microsoft YaHei"/>
          <w:b w:val="0"/>
          <w:color w:val="1F2937"/>
          <w:sz w:val="21"/>
        </w:rPr>
        <w:t>4.  拉取A的100篇状态台账，更新首页和管理状态；未抽取文章仍可显示处理状态，但不伪造人物记录。</w:t>
      </w:r>
    </w:p>
    <w:p>
      <w:pPr>
        <w:spacing w:after="80"/>
        <w:ind w:left="312" w:hanging="255"/>
      </w:pPr>
      <w:r>
        <w:rPr>
          <w:rFonts w:ascii="Arial" w:hAnsi="Arial" w:eastAsia="Microsoft YaHei"/>
          <w:b w:val="0"/>
          <w:color w:val="1F2937"/>
          <w:sz w:val="21"/>
        </w:rPr>
        <w:t>5.  拉取B的20样本评测，只展示其原始结论，不由C重算出不同口径。</w:t>
      </w:r>
    </w:p>
    <w:p>
      <w:pPr>
        <w:pStyle w:val="Heading1"/>
      </w:pPr>
      <w:r>
        <w:t>性能和安全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81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检查</w:t>
            </w:r>
          </w:p>
        </w:tc>
        <w:tc>
          <w:tcPr>
            <w:tcW w:type="dxa" w:w="4535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2721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通过条件</w:t>
            </w:r>
          </w:p>
        </w:tc>
      </w:tr>
      <w:t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查询性能</w:t>
            </w:r>
          </w:p>
        </w:tc>
        <w:tc>
          <w:tcPr>
            <w:tcW w:type="dxa" w:w="45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100行脱敏夹具，至少30次普通查询，记录每次耗时和P95</w:t>
            </w:r>
          </w:p>
        </w:tc>
        <w:tc>
          <w:tcPr>
            <w:tcW w:type="dxa" w:w="272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每次&lt;1秒，P95&lt;1秒</w:t>
            </w:r>
          </w:p>
        </w:tc>
      </w:tr>
      <w:tr>
        <w:tc>
          <w:tcPr>
            <w:tcW w:type="dxa" w:w="181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幂等导入</w:t>
            </w:r>
          </w:p>
        </w:tc>
        <w:tc>
          <w:tcPr>
            <w:tcW w:type="dxa" w:w="453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同一article和extraction bundle连续导入两次</w:t>
            </w:r>
          </w:p>
        </w:tc>
        <w:tc>
          <w:tcPr>
            <w:tcW w:type="dxa" w:w="272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articles和records数量不增加</w:t>
            </w:r>
          </w:p>
        </w:tc>
      </w:tr>
      <w:t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未知字段</w:t>
            </w:r>
          </w:p>
        </w:tc>
        <w:tc>
          <w:tcPr>
            <w:tcW w:type="dxa" w:w="45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向search或query/parse发送未允许字段</w:t>
            </w:r>
          </w:p>
        </w:tc>
        <w:tc>
          <w:tcPr>
            <w:tcW w:type="dxa" w:w="272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返回4xx，不执行查询</w:t>
            </w:r>
          </w:p>
        </w:tc>
      </w:tr>
      <w:tr>
        <w:tc>
          <w:tcPr>
            <w:tcW w:type="dxa" w:w="181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模型与证据</w:t>
            </w:r>
          </w:p>
        </w:tc>
        <w:tc>
          <w:tcPr>
            <w:tcW w:type="dxa" w:w="453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分别测试模型开启、关闭和证据缺失</w:t>
            </w:r>
          </w:p>
        </w:tc>
        <w:tc>
          <w:tcPr>
            <w:tcW w:type="dxa" w:w="272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有引用、可降级、不编造</w:t>
            </w:r>
          </w:p>
        </w:tc>
      </w:tr>
      <w:t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权限矩阵</w:t>
            </w:r>
          </w:p>
        </w:tc>
        <w:tc>
          <w:tcPr>
            <w:tcW w:type="dxa" w:w="45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guest、student/teacher、admin及越权请求</w:t>
            </w:r>
          </w:p>
        </w:tc>
        <w:tc>
          <w:tcPr>
            <w:tcW w:type="dxa" w:w="272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服务端字段与操作边界正确</w:t>
            </w:r>
          </w:p>
        </w:tc>
      </w:tr>
      <w:tr>
        <w:tc>
          <w:tcPr>
            <w:tcW w:type="dxa" w:w="181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公共HTTPS</w:t>
            </w:r>
          </w:p>
        </w:tc>
        <w:tc>
          <w:tcPr>
            <w:tcW w:type="dxa" w:w="453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公网访问首页、传统查询和/healthz</w:t>
            </w:r>
          </w:p>
        </w:tc>
        <w:tc>
          <w:tcPr>
            <w:tcW w:type="dxa" w:w="272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HTTPS有效，健康检查2xx</w:t>
            </w:r>
          </w:p>
        </w:tc>
      </w:tr>
      <w:t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局域网灾备</w:t>
            </w:r>
          </w:p>
        </w:tc>
        <w:tc>
          <w:tcPr>
            <w:tcW w:type="dxa" w:w="45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host 0.0.0.0启动，另一设备访问</w:t>
            </w:r>
          </w:p>
        </w:tc>
        <w:tc>
          <w:tcPr>
            <w:tcW w:type="dxa" w:w="272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首页、搜索、详情均成功</w:t>
            </w:r>
          </w:p>
        </w:tc>
      </w:tr>
      <w:tr>
        <w:tc>
          <w:tcPr>
            <w:tcW w:type="dxa" w:w="181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移动视口</w:t>
            </w:r>
          </w:p>
        </w:tc>
        <w:tc>
          <w:tcPr>
            <w:tcW w:type="dxa" w:w="453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390×844和768×1024走关键页面</w:t>
            </w:r>
          </w:p>
        </w:tc>
        <w:tc>
          <w:tcPr>
            <w:tcW w:type="dxa" w:w="272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无横向溢出，交互可用</w:t>
            </w:r>
          </w:p>
        </w:tc>
      </w:tr>
    </w:tbl>
    <w:p>
      <w:pPr>
        <w:spacing w:after="40"/>
      </w:pPr>
    </w:p>
    <w:p>
      <w:pPr>
        <w:pStyle w:val="Heading1"/>
      </w:pPr>
      <w:r>
        <w:t>最终演示</w:t>
      </w:r>
    </w:p>
    <w:p>
      <w:pPr>
        <w:spacing w:after="80"/>
        <w:ind w:left="312" w:hanging="255"/>
      </w:pPr>
      <w:r>
        <w:rPr>
          <w:rFonts w:ascii="Arial" w:hAnsi="Arial" w:eastAsia="Microsoft YaHei"/>
          <w:b w:val="0"/>
          <w:color w:val="1F2937"/>
          <w:sz w:val="21"/>
        </w:rPr>
        <w:t>1.  用公共HTTPS打开首页与/healthz，展示数据量和更新时间，并说明局域网灾备。</w:t>
      </w:r>
    </w:p>
    <w:p>
      <w:pPr>
        <w:spacing w:after="80"/>
        <w:ind w:left="312" w:hanging="255"/>
      </w:pPr>
      <w:r>
        <w:rPr>
          <w:rFonts w:ascii="Arial" w:hAnsi="Arial" w:eastAsia="Microsoft YaHei"/>
          <w:b w:val="0"/>
          <w:color w:val="1F2937"/>
          <w:sz w:val="21"/>
        </w:rPr>
        <w:t>2.  执行传统筛选并解释结果数量。</w:t>
      </w:r>
    </w:p>
    <w:p>
      <w:pPr>
        <w:spacing w:after="80"/>
        <w:ind w:left="312" w:hanging="255"/>
      </w:pPr>
      <w:r>
        <w:rPr>
          <w:rFonts w:ascii="Arial" w:hAnsi="Arial" w:eastAsia="Microsoft YaHei"/>
          <w:b w:val="0"/>
          <w:color w:val="1F2937"/>
          <w:sz w:val="21"/>
        </w:rPr>
        <w:t>3.  执行自然语言查询并展示QueryPlan、证据检索和带引用结果。</w:t>
      </w:r>
    </w:p>
    <w:p>
      <w:pPr>
        <w:spacing w:after="80"/>
        <w:ind w:left="312" w:hanging="255"/>
      </w:pPr>
      <w:r>
        <w:rPr>
          <w:rFonts w:ascii="Arial" w:hAnsi="Arial" w:eastAsia="Microsoft YaHei"/>
          <w:b w:val="0"/>
          <w:color w:val="1F2937"/>
          <w:sz w:val="21"/>
        </w:rPr>
        <w:t>4.  切换guest、student/teacher、admin并验证脱敏、完整视图、管理权限和越权拒绝。</w:t>
      </w:r>
    </w:p>
    <w:p>
      <w:pPr>
        <w:spacing w:after="80"/>
        <w:ind w:left="312" w:hanging="255"/>
      </w:pPr>
      <w:r>
        <w:rPr>
          <w:rFonts w:ascii="Arial" w:hAnsi="Arial" w:eastAsia="Microsoft YaHei"/>
          <w:b w:val="0"/>
          <w:color w:val="1F2937"/>
          <w:sz w:val="21"/>
        </w:rPr>
        <w:t>5.  打开详情核对结构化字段、来源证据和CAS来源链接。</w:t>
      </w:r>
    </w:p>
    <w:p>
      <w:pPr>
        <w:spacing w:after="80"/>
        <w:ind w:left="312" w:hanging="255"/>
      </w:pPr>
      <w:r>
        <w:rPr>
          <w:rFonts w:ascii="Arial" w:hAnsi="Arial" w:eastAsia="Microsoft YaHei"/>
          <w:b w:val="0"/>
          <w:color w:val="1F2937"/>
          <w:sz w:val="21"/>
        </w:rPr>
        <w:t>6.  展示review_required样本和原因。</w:t>
      </w:r>
    </w:p>
    <w:p>
      <w:pPr>
        <w:spacing w:after="80"/>
        <w:ind w:left="312" w:hanging="255"/>
      </w:pPr>
      <w:r>
        <w:rPr>
          <w:rFonts w:ascii="Arial" w:hAnsi="Arial" w:eastAsia="Microsoft YaHei"/>
          <w:b w:val="0"/>
          <w:color w:val="1F2937"/>
          <w:sz w:val="21"/>
        </w:rPr>
        <w:t>7.  关闭模型并展示关键词降级，再展示一次证据不足路径。</w:t>
      </w:r>
    </w:p>
    <w:p>
      <w:pPr>
        <w:spacing w:after="80"/>
        <w:ind w:left="312" w:hanging="255"/>
      </w:pPr>
      <w:r>
        <w:rPr>
          <w:rFonts w:ascii="Arial" w:hAnsi="Arial" w:eastAsia="Microsoft YaHei"/>
          <w:b w:val="0"/>
          <w:color w:val="1F2937"/>
          <w:sz w:val="21"/>
        </w:rPr>
        <w:t>8.  展示更新中断恢复与重复运行不增重。</w:t>
      </w:r>
    </w:p>
    <w:p>
      <w:pPr>
        <w:spacing w:after="80"/>
        <w:ind w:left="312" w:hanging="255"/>
      </w:pPr>
      <w:r>
        <w:rPr>
          <w:rFonts w:ascii="Arial" w:hAnsi="Arial" w:eastAsia="Microsoft YaHei"/>
          <w:b w:val="0"/>
          <w:color w:val="1F2937"/>
          <w:sz w:val="21"/>
        </w:rPr>
        <w:t>9.  用两种移动视口复测关键页面，打开20样本评测说明模型门槛。</w:t>
      </w:r>
    </w:p>
    <w:p>
      <w:pPr>
        <w:pStyle w:val="Heading1"/>
      </w:pPr>
      <w:r>
        <w:t>Git 与整合</w:t>
      </w:r>
    </w:p>
    <w:p>
      <w:r>
        <w:rPr>
          <w:rFonts w:ascii="Arial" w:hAnsi="Arial" w:eastAsia="Microsoft YaHei"/>
          <w:b w:val="0"/>
          <w:color w:val="1F2937"/>
          <w:sz w:val="21"/>
        </w:rPr>
        <w:t>C维护feat/week1-core-search。共享契约先独立提交并合并；A、B合并后，C更新main并重跑接口、导入、搜索和公开DTO测试。冲突时保留上游业务输出，修改C的适配层；若必须改契约，另开PR并取得A、B确认。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515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建议提交</w:t>
            </w:r>
          </w:p>
        </w:tc>
        <w:tc>
          <w:tcPr>
            <w:tcW w:type="dxa" w:w="374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181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推送时点</w:t>
            </w:r>
          </w:p>
        </w:tc>
      </w:tr>
      <w:tr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feat(core): add shared contracts and sqlite schema</w:t>
            </w:r>
          </w:p>
        </w:tc>
        <w:tc>
          <w:tcPr>
            <w:tcW w:type="dxa" w:w="374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Schema、实体、建表和导入</w:t>
            </w:r>
          </w:p>
        </w:tc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17日22:00前</w:t>
            </w:r>
          </w:p>
        </w:tc>
      </w:tr>
      <w:tr>
        <w:tc>
          <w:tcPr>
            <w:tcW w:type="dxa" w:w="351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feat(search): add filters fts and fallback</w:t>
            </w:r>
          </w:p>
        </w:tc>
        <w:tc>
          <w:tcPr>
            <w:tcW w:type="dxa" w:w="374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结构化查询、FTS5和LIKE</w:t>
            </w:r>
          </w:p>
        </w:tc>
        <w:tc>
          <w:tcPr>
            <w:tcW w:type="dxa" w:w="181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18日白天</w:t>
            </w:r>
          </w:p>
        </w:tc>
      </w:tr>
      <w:tr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feat(web): connect search and evidence views</w:t>
            </w:r>
          </w:p>
        </w:tc>
        <w:tc>
          <w:tcPr>
            <w:tcW w:type="dxa" w:w="374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Flask、Jinja2和现有视觉</w:t>
            </w:r>
          </w:p>
        </w:tc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18日22:00前</w:t>
            </w:r>
          </w:p>
        </w:tc>
      </w:tr>
      <w:tr>
        <w:tc>
          <w:tcPr>
            <w:tcW w:type="dxa" w:w="351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feat(web): add role policy and evidence answers</w:t>
            </w:r>
          </w:p>
        </w:tc>
        <w:tc>
          <w:tcPr>
            <w:tcW w:type="dxa" w:w="374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三角色DTO、引用回答和越权拒绝</w:t>
            </w:r>
          </w:p>
        </w:tc>
        <w:tc>
          <w:tcPr>
            <w:tcW w:type="dxa" w:w="181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19日18:00前</w:t>
            </w:r>
          </w:p>
        </w:tc>
      </w:tr>
      <w:tr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feat(deploy): add https health and backup runbook</w:t>
            </w:r>
          </w:p>
        </w:tc>
        <w:tc>
          <w:tcPr>
            <w:tcW w:type="dxa" w:w="374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公共URL、健康检查和局域网灾备</w:t>
            </w:r>
          </w:p>
        </w:tc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20日15:00前</w:t>
            </w:r>
          </w:p>
        </w:tc>
      </w:tr>
      <w:tr>
        <w:tc>
          <w:tcPr>
            <w:tcW w:type="dxa" w:w="351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test(core): verify imports privacy and latency</w:t>
            </w:r>
          </w:p>
        </w:tc>
        <w:tc>
          <w:tcPr>
            <w:tcW w:type="dxa" w:w="374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幂等、DTO、30次性能</w:t>
            </w:r>
          </w:p>
        </w:tc>
        <w:tc>
          <w:tcPr>
            <w:tcW w:type="dxa" w:w="181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20日15:00前</w:t>
            </w:r>
          </w:p>
        </w:tc>
      </w:tr>
      <w:tr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docs(week1): add demo and acceptance evidence</w:t>
            </w:r>
          </w:p>
        </w:tc>
        <w:tc>
          <w:tcPr>
            <w:tcW w:type="dxa" w:w="374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运行说明、录屏与台账</w:t>
            </w:r>
          </w:p>
        </w:tc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20日23:59前</w:t>
            </w:r>
          </w:p>
        </w:tc>
      </w:tr>
    </w:tbl>
    <w:p>
      <w:pPr>
        <w:spacing w:after="40"/>
      </w:pPr>
    </w:p>
    <w:p>
      <w:pPr>
        <w:pStyle w:val="Heading1"/>
      </w:pPr>
      <w:r>
        <w:t>最终自查</w:t>
      </w:r>
    </w:p>
    <w:p>
      <w:pPr>
        <w:spacing w:after="60"/>
        <w:ind w:left="170" w:hanging="170"/>
      </w:pPr>
      <w:r>
        <w:rPr>
          <w:rFonts w:ascii="Arial" w:hAnsi="Arial" w:eastAsia="Microsoft YaHei"/>
          <w:b w:val="0"/>
          <w:color w:val="1F2937"/>
          <w:sz w:val="21"/>
        </w:rPr>
        <w:t>□  A、B输出使用同一冻结Schema，5篇固定样本完整跑通。</w:t>
      </w:r>
    </w:p>
    <w:p>
      <w:pPr>
        <w:spacing w:after="60"/>
        <w:ind w:left="170" w:hanging="170"/>
      </w:pPr>
      <w:r>
        <w:rPr>
          <w:rFonts w:ascii="Arial" w:hAnsi="Arial" w:eastAsia="Microsoft YaHei"/>
          <w:b w:val="0"/>
          <w:color w:val="1F2937"/>
          <w:sz w:val="21"/>
        </w:rPr>
        <w:t>□  一帖多人、null、review_required、failed和字段证据在数据库与页面一致。</w:t>
      </w:r>
    </w:p>
    <w:p>
      <w:pPr>
        <w:spacing w:after="60"/>
        <w:ind w:left="170" w:hanging="170"/>
      </w:pPr>
      <w:r>
        <w:rPr>
          <w:rFonts w:ascii="Arial" w:hAnsi="Arial" w:eastAsia="Microsoft YaHei"/>
          <w:b w:val="0"/>
          <w:color w:val="1F2937"/>
          <w:sz w:val="21"/>
        </w:rPr>
        <w:t>□  100行夹具30次查询均小于1秒，记录原始耗时。</w:t>
      </w:r>
    </w:p>
    <w:p>
      <w:pPr>
        <w:spacing w:after="60"/>
        <w:ind w:left="170" w:hanging="170"/>
      </w:pPr>
      <w:r>
        <w:rPr>
          <w:rFonts w:ascii="Arial" w:hAnsi="Arial" w:eastAsia="Microsoft YaHei"/>
          <w:b w:val="0"/>
          <w:color w:val="1F2937"/>
          <w:sz w:val="21"/>
        </w:rPr>
        <w:t>□  模型开启、关闭和证据缺失三条路径正确，未知字段被拒绝。</w:t>
      </w:r>
    </w:p>
    <w:p>
      <w:pPr>
        <w:spacing w:after="60"/>
        <w:ind w:left="170" w:hanging="170"/>
      </w:pPr>
      <w:r>
        <w:rPr>
          <w:rFonts w:ascii="Arial" w:hAnsi="Arial" w:eastAsia="Microsoft YaHei"/>
          <w:b w:val="0"/>
          <w:color w:val="1F2937"/>
          <w:sz w:val="21"/>
        </w:rPr>
        <w:t>□  guest、student/teacher、admin权限和越权拒绝均由服务端验证。</w:t>
      </w:r>
    </w:p>
    <w:p>
      <w:pPr>
        <w:spacing w:after="60"/>
        <w:ind w:left="170" w:hanging="170"/>
      </w:pPr>
      <w:r>
        <w:rPr>
          <w:rFonts w:ascii="Arial" w:hAnsi="Arial" w:eastAsia="Microsoft YaHei"/>
          <w:b w:val="0"/>
          <w:color w:val="1F2937"/>
          <w:sz w:val="21"/>
        </w:rPr>
        <w:t>□  公共HTTPS和/healthz可用；另一台局域网设备完成灾备演示。</w:t>
      </w:r>
    </w:p>
    <w:p>
      <w:pPr>
        <w:spacing w:after="60"/>
        <w:ind w:left="170" w:hanging="170"/>
      </w:pPr>
      <w:r>
        <w:rPr>
          <w:rFonts w:ascii="Arial" w:hAnsi="Arial" w:eastAsia="Microsoft YaHei"/>
          <w:b w:val="0"/>
          <w:color w:val="1F2937"/>
          <w:sz w:val="21"/>
        </w:rPr>
        <w:t>□  390×844和768×1024视口完成关键流程，录屏无个人信息。</w:t>
      </w:r>
    </w:p>
    <w:p>
      <w:pPr>
        <w:spacing w:after="60"/>
        <w:ind w:left="170" w:hanging="170"/>
      </w:pPr>
      <w:r>
        <w:rPr>
          <w:rFonts w:ascii="Arial" w:hAnsi="Arial" w:eastAsia="Microsoft YaHei"/>
          <w:b w:val="0"/>
          <w:color w:val="1F2937"/>
          <w:sz w:val="21"/>
        </w:rPr>
        <w:t>□  main可运行，所有PR有检查，验收台账、README和已知限制已更新。</w:t>
      </w:r>
    </w:p>
    <w:sectPr w:rsidR="00FC693F" w:rsidRPr="0006063C" w:rsidSect="00034616">
      <w:footerReference w:type="default" r:id="rId9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B7280"/>
        <w:sz w:val="18"/>
      </w:rP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Microsoft YaHe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角色 C 数据库检索整合任务书</dc:title>
  <dc:subject>2026年9月第一周协作执行包</dc:subject>
  <dc:creator>选调信息智能检索系统项目组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