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角色 C 数据库检索整合任务书</w:t>
      </w:r>
    </w:p>
    <w:p>
      <w:pPr>
        <w:spacing w:after="280"/>
      </w:pPr>
      <w:r>
        <w:rPr>
          <w:rFonts w:ascii="Arial" w:hAnsi="Arial" w:eastAsia="Microsoft YaHei"/>
          <w:b w:val="0"/>
          <w:color w:val="4B5563"/>
          <w:sz w:val="22"/>
        </w:rPr>
        <w:t>Flask API  React Vite  SQLite  RolePolicy  项目总和</w:t>
      </w:r>
    </w:p>
    <w:p>
      <w:pPr>
        <w:spacing w:after="320"/>
      </w:pPr>
      <w:r>
        <w:rPr>
          <w:rFonts w:ascii="Arial" w:hAnsi="Arial" w:eastAsia="Microsoft YaHei"/>
          <w:b w:val="0"/>
          <w:color w:val="4B5563"/>
          <w:sz w:val="19"/>
        </w:rPr>
        <w:t>执行周期  2026年9月16日至9月20日    截止时间  9月20日23:59</w:t>
      </w:r>
    </w:p>
    <w:p>
      <w:r>
        <w:rPr>
          <w:rFonts w:ascii="Arial" w:hAnsi="Arial" w:eastAsia="Microsoft YaHei"/>
          <w:b w:val="0"/>
          <w:color w:val="1F2937"/>
          <w:sz w:val="21"/>
        </w:rPr>
        <w:t>角色C先把接口和项目骨架交给A、B，再并行完成数据库和网页。整合时允许为上游结果增加适配层，但不能默默改写A、B的事实、证据或评测结果。</w:t>
      </w:r>
    </w:p>
    <w:p>
      <w:pPr>
        <w:pStyle w:val="Heading1"/>
      </w:pPr>
      <w:r>
        <w:t>交付结果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6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11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30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截止</w:t>
            </w:r>
          </w:p>
        </w:tc>
        <w:tc>
          <w:tcPr>
            <w:tcW w:type="dxa" w:w="1247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使用者</w:t>
            </w:r>
          </w:p>
        </w:tc>
        <w:tc>
          <w:tcPr>
            <w:tcW w:type="dxa" w:w="2721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硬指标</w:t>
            </w:r>
          </w:p>
        </w:tc>
      </w:tr>
      <w:tr>
        <w:tc>
          <w:tcPr>
            <w:tcW w:type="dxa" w:w="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C1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数据字典、两份Schema和项目骨架</w:t>
            </w:r>
          </w:p>
        </w:tc>
        <w:tc>
          <w:tcPr>
            <w:tcW w:type="dxa" w:w="1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17日12:00</w:t>
            </w:r>
          </w:p>
        </w:tc>
        <w:tc>
          <w:tcPr>
            <w:tcW w:type="dxa" w:w="124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A、B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示例通过，未知字段被拒绝</w:t>
            </w:r>
          </w:p>
        </w:tc>
      </w:tr>
      <w:tr>
        <w:tc>
          <w:tcPr>
            <w:tcW w:type="dxa" w:w="680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C2</w:t>
            </w:r>
          </w:p>
        </w:tc>
        <w:tc>
          <w:tcPr>
            <w:tcW w:type="dxa" w:w="311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SQLite建表与固定样本导入</w:t>
            </w:r>
          </w:p>
        </w:tc>
        <w:tc>
          <w:tcPr>
            <w:tcW w:type="dxa" w:w="130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17日22:00</w:t>
            </w:r>
          </w:p>
        </w:tc>
        <w:tc>
          <w:tcPr>
            <w:tcW w:type="dxa" w:w="1247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全组</w:t>
            </w:r>
          </w:p>
        </w:tc>
        <w:tc>
          <w:tcPr>
            <w:tcW w:type="dxa" w:w="272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一帖多人、证据和状态可查询</w:t>
            </w:r>
          </w:p>
        </w:tc>
      </w:tr>
      <w:tr>
        <w:tc>
          <w:tcPr>
            <w:tcW w:type="dxa" w:w="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C3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React/Vite传统查询、三角色详情和证据页面</w:t>
            </w:r>
          </w:p>
        </w:tc>
        <w:tc>
          <w:tcPr>
            <w:tcW w:type="dxa" w:w="1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18日22:00</w:t>
            </w:r>
          </w:p>
        </w:tc>
        <w:tc>
          <w:tcPr>
            <w:tcW w:type="dxa" w:w="124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演示用户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guest脱敏，student/teacher与admin由服务端授权</w:t>
            </w:r>
          </w:p>
        </w:tc>
      </w:tr>
      <w:tr>
        <w:tc>
          <w:tcPr>
            <w:tcW w:type="dxa" w:w="680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C4</w:t>
            </w:r>
          </w:p>
        </w:tc>
        <w:tc>
          <w:tcPr>
            <w:tcW w:type="dxa" w:w="311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A/B整合与带引用回答</w:t>
            </w:r>
          </w:p>
        </w:tc>
        <w:tc>
          <w:tcPr>
            <w:tcW w:type="dxa" w:w="130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19日18:00</w:t>
            </w:r>
          </w:p>
        </w:tc>
        <w:tc>
          <w:tcPr>
            <w:tcW w:type="dxa" w:w="1247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全组</w:t>
            </w:r>
          </w:p>
        </w:tc>
        <w:tc>
          <w:tcPr>
            <w:tcW w:type="dxa" w:w="272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固定5篇三路径主链跑通</w:t>
            </w:r>
          </w:p>
        </w:tc>
      </w:tr>
      <w:tr>
        <w:tc>
          <w:tcPr>
            <w:tcW w:type="dxa" w:w="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C5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LAN健康检查、云端HTTPS部署清单、移动端和录屏</w:t>
            </w:r>
          </w:p>
        </w:tc>
        <w:tc>
          <w:tcPr>
            <w:tcW w:type="dxa" w:w="1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20日15:00</w:t>
            </w:r>
          </w:p>
        </w:tc>
        <w:tc>
          <w:tcPr>
            <w:tcW w:type="dxa" w:w="124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验收人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另一台LAN设备健康检查通过，30次查询&lt;1秒</w:t>
            </w:r>
          </w:p>
        </w:tc>
      </w:tr>
    </w:tbl>
    <w:p>
      <w:pPr>
        <w:spacing w:after="40"/>
      </w:pPr>
    </w:p>
    <w:p>
      <w:pPr>
        <w:pStyle w:val="Heading1"/>
      </w:pPr>
      <w:r>
        <w:t>开始前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从main新建feat/week1-core-search，阅读README、ARCHITECTURE、TEAM_RULES和现有静态原型。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确认docs/week1/04_接口与数据字典.md和两份Schema是唯一公共格式。A、B确认后冻结1.0版。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在目标Python环境测试SQLite版本、FTS5和trigram；若trigram不可用，保留FTS5和归一化LIKE回退。确认Node、npm和Vite可用，第一周不安装Embedding模型。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建立progress/week1/C/PROGRESS.md和BLOCKED.md。根依赖、Schema、共享文档和验收台账只由C修改。</w:t>
      </w:r>
    </w:p>
    <w:p>
      <w:pPr>
        <w:pStyle w:val="Heading1"/>
      </w:pPr>
      <w:r>
        <w:t>项目骨架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81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目录</w:t>
            </w:r>
          </w:p>
        </w:tc>
        <w:tc>
          <w:tcPr>
            <w:tcW w:type="dxa" w:w="408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17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禁止放入</w:t>
            </w:r>
          </w:p>
        </w:tc>
      </w:tr>
      <w:t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app/domain</w:t>
            </w:r>
          </w:p>
        </w:tc>
        <w:tc>
          <w:tcPr>
            <w:tcW w:type="dxa" w:w="408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实体、状态枚举、QueryPlan、RolePolicy、DTO和公共接口</w:t>
            </w:r>
          </w:p>
        </w:tc>
        <w:tc>
          <w:tcPr>
            <w:tcW w:type="dxa" w:w="317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HTTP、SQLite语句、模板渲染</w:t>
            </w:r>
          </w:p>
        </w:tc>
      </w:tr>
      <w:tr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app/repository</w:t>
            </w:r>
          </w:p>
        </w:tc>
        <w:tc>
          <w:tcPr>
            <w:tcW w:type="dxa" w:w="408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SQLite建表、迁移、导入和查询实现</w:t>
            </w:r>
          </w:p>
        </w:tc>
        <w:tc>
          <w:tcPr>
            <w:tcW w:type="dxa" w:w="317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门户登录和OCR实现</w:t>
            </w:r>
          </w:p>
        </w:tc>
      </w:tr>
      <w:t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app/search</w:t>
            </w:r>
          </w:p>
        </w:tc>
        <w:tc>
          <w:tcPr>
            <w:tcW w:type="dxa" w:w="408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结构化过滤、FTS5、LIKE回退、排序</w:t>
            </w:r>
          </w:p>
        </w:tc>
        <w:tc>
          <w:tcPr>
            <w:tcW w:type="dxa" w:w="317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直接调用模型生成SQL</w:t>
            </w:r>
          </w:p>
        </w:tc>
      </w:tr>
      <w:tr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app/web</w:t>
            </w:r>
          </w:p>
        </w:tc>
        <w:tc>
          <w:tcPr>
            <w:tcW w:type="dxa" w:w="408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Flask路由、输入校验、角色与公开DTO</w:t>
            </w:r>
          </w:p>
        </w:tc>
        <w:tc>
          <w:tcPr>
            <w:tcW w:type="dxa" w:w="317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受限资源路径和业务推测</w:t>
            </w:r>
          </w:p>
        </w:tc>
      </w:tr>
      <w:t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frontend/src</w:t>
            </w:r>
          </w:p>
        </w:tc>
        <w:tc>
          <w:tcPr>
            <w:tcW w:type="dxa" w:w="408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React、TypeScript、Vite页面、组件、样式和浏览器交互</w:t>
            </w:r>
          </w:p>
        </w:tc>
        <w:tc>
          <w:tcPr>
            <w:tcW w:type="dxa" w:w="317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真实数据、权限判断和客户端假脱敏</w:t>
            </w:r>
          </w:p>
        </w:tc>
      </w:tr>
      <w:tr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schemas/docs</w:t>
            </w:r>
          </w:p>
        </w:tc>
        <w:tc>
          <w:tcPr>
            <w:tcW w:type="dxa" w:w="408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共享契约、运行说明和验收材料</w:t>
            </w:r>
          </w:p>
        </w:tc>
        <w:tc>
          <w:tcPr>
            <w:tcW w:type="dxa" w:w="317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Cookie、密钥、原始海报和未脱敏库</w:t>
            </w:r>
          </w:p>
        </w:tc>
      </w:tr>
    </w:tbl>
    <w:p>
      <w:pPr>
        <w:spacing w:after="40"/>
      </w:pPr>
    </w:p>
    <w:p>
      <w:pPr>
        <w:pStyle w:val="Heading1"/>
      </w:pPr>
      <w:r>
        <w:t>数据库</w:t>
      </w:r>
    </w:p>
    <w:p>
      <w:r>
        <w:rPr>
          <w:rFonts w:ascii="Arial" w:hAnsi="Arial" w:eastAsia="Microsoft YaHei"/>
          <w:b w:val="0"/>
          <w:color w:val="1F2937"/>
          <w:sz w:val="21"/>
        </w:rPr>
        <w:t>SQLite至少包含articles、assets、experience_records、evidence和processing_events。notice_id与record_key设唯一约束；人物记录必须关联文章，证据必须关联人物记录和字段。受控领域层可保留姓名、头像、原图引用和CAS来源链接，但这些私有字段不得进入Git样本或guest DTO。处理状态与发布状态visibility分离，只有人工确认且published的记录进入guest和student/teacher查询，review_required默认仅进入admin复核队列。重复导入执行upsert，不能因为上游重跑产生新行。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表</w:t>
            </w:r>
          </w:p>
        </w:tc>
        <w:tc>
          <w:tcPr>
            <w:tcW w:type="dxa" w:w="4819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第一周必须字段</w:t>
            </w:r>
          </w:p>
        </w:tc>
        <w:tc>
          <w:tcPr>
            <w:tcW w:type="dxa" w:w="2551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关键约束</w:t>
            </w:r>
          </w:p>
        </w:tc>
      </w:tr>
      <w:tr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articles</w:t>
            </w:r>
          </w:p>
        </w:tc>
        <w:tc>
          <w:tcPr>
            <w:tcW w:type="dxa" w:w="481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notice_id、title、source_url、published_at、content_type、status、failure_reason</w:t>
            </w:r>
          </w:p>
        </w:tc>
        <w:tc>
          <w:tcPr>
            <w:tcW w:type="dxa" w:w="25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notice_id唯一</w:t>
            </w:r>
          </w:p>
        </w:tc>
      </w:tr>
      <w:tr>
        <w:tc>
          <w:tcPr>
            <w:tcW w:type="dxa" w:w="170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assets</w:t>
            </w:r>
          </w:p>
        </w:tc>
        <w:tc>
          <w:tcPr>
            <w:tcW w:type="dxa" w:w="4819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asset_id、notice_id、kind、private_ref、sha256、derived_ref</w:t>
            </w:r>
          </w:p>
        </w:tc>
        <w:tc>
          <w:tcPr>
            <w:tcW w:type="dxa" w:w="255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公开DTO不返回private_ref</w:t>
            </w:r>
          </w:p>
        </w:tc>
      </w:tr>
      <w:tr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experience_records</w:t>
            </w:r>
          </w:p>
        </w:tc>
        <w:tc>
          <w:tcPr>
            <w:tcW w:type="dxa" w:w="481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record_key、notice_id、七个业务字段、status、confidence</w:t>
            </w:r>
          </w:p>
        </w:tc>
        <w:tc>
          <w:tcPr>
            <w:tcW w:type="dxa" w:w="25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record_key唯一，一帖多人</w:t>
            </w:r>
          </w:p>
        </w:tc>
      </w:tr>
      <w:tr>
        <w:tc>
          <w:tcPr>
            <w:tcW w:type="dxa" w:w="170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evidence</w:t>
            </w:r>
          </w:p>
        </w:tc>
        <w:tc>
          <w:tcPr>
            <w:tcW w:type="dxa" w:w="4819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record_key、field、text、method、asset_id、bbox</w:t>
            </w:r>
          </w:p>
        </w:tc>
        <w:tc>
          <w:tcPr>
            <w:tcW w:type="dxa" w:w="255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非空字段应有可追溯证据</w:t>
            </w:r>
          </w:p>
        </w:tc>
      </w:tr>
      <w:tr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processing_events</w:t>
            </w:r>
          </w:p>
        </w:tc>
        <w:tc>
          <w:tcPr>
            <w:tcW w:type="dxa" w:w="481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notice_id、stage、status、reason、created_at</w:t>
            </w:r>
          </w:p>
        </w:tc>
        <w:tc>
          <w:tcPr>
            <w:tcW w:type="dxa" w:w="25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失败和恢复过程可追踪</w:t>
            </w:r>
          </w:p>
        </w:tc>
      </w:tr>
    </w:tbl>
    <w:p>
      <w:pPr>
        <w:spacing w:after="40"/>
      </w:pPr>
    </w:p>
    <w:p>
      <w:pPr>
        <w:pStyle w:val="Heading1"/>
      </w:pPr>
      <w:r>
        <w:t>检索服务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1.  结构化字段先做精确或归一化匹配。标题、正文和证据使用FTS5召回；中文短词召回不足时使用有界LIKE回退。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2.  GET /api/search只接受cohort、education、college、major、city、position_or_unit、keywords、page和page_size。未知字段返回4xx。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3.  空条件显示最新记录和常用筛选；无结果保留原条件并列出可取消项，不自动扩大范围后假装命中。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4.  结果返回匹配原因、来源、复核状态和证据摘要。通过RolePolicy和Presenter生成guest、student/teacher、admin DTO，禁止只在前端隐藏私有字段。</w:t>
      </w:r>
    </w:p>
    <w:p>
      <w:pPr>
        <w:pStyle w:val="Heading1"/>
      </w:pPr>
      <w:r>
        <w:t>带引用回答 与降级</w:t>
      </w:r>
    </w:p>
    <w:p>
      <w:r>
        <w:rPr>
          <w:rFonts w:ascii="Arial" w:hAnsi="Arial" w:eastAsia="Microsoft YaHei"/>
          <w:b w:val="0"/>
          <w:color w:val="1F2937"/>
          <w:sz w:val="21"/>
        </w:rPr>
        <w:t>POST /api/query/parse把输入转换为白名单QueryPlan，POST /api/query/answer基于QueryPlan检索B的evidence pack并返回带字段证据引用的结果或回答。模型只能使用检索到的证据，不得生成SQL或补全缺失字段；无证据返回“证据不足”。模型不可用时返回degraded状态并调用同一SearchService。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81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输入情况</w:t>
            </w:r>
          </w:p>
        </w:tc>
        <w:tc>
          <w:tcPr>
            <w:tcW w:type="dxa" w:w="351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系统结果</w:t>
            </w:r>
          </w:p>
        </w:tc>
        <w:tc>
          <w:tcPr>
            <w:tcW w:type="dxa" w:w="317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页面表现</w:t>
            </w:r>
          </w:p>
        </w:tc>
      </w:tr>
      <w:t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可解析结构化条件</w:t>
            </w:r>
          </w:p>
        </w:tc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合法QueryPlan</w:t>
            </w:r>
          </w:p>
        </w:tc>
        <w:tc>
          <w:tcPr>
            <w:tcW w:type="dxa" w:w="317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显示可修改条件标签</w:t>
            </w:r>
          </w:p>
        </w:tc>
      </w:tr>
      <w:tr>
        <w:tc>
          <w:tcPr>
            <w:tcW w:type="dxa" w:w="238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含未知条件</w:t>
            </w:r>
          </w:p>
        </w:tc>
        <w:tc>
          <w:tcPr>
            <w:tcW w:type="dxa" w:w="351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忽略未知项或返回校验错误</w:t>
            </w:r>
          </w:p>
        </w:tc>
        <w:tc>
          <w:tcPr>
            <w:tcW w:type="dxa" w:w="317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说明未采用的条件</w:t>
            </w:r>
          </w:p>
        </w:tc>
      </w:tr>
      <w:t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模型不可用</w:t>
            </w:r>
          </w:p>
        </w:tc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关键词与词典降级计划</w:t>
            </w:r>
          </w:p>
        </w:tc>
        <w:tc>
          <w:tcPr>
            <w:tcW w:type="dxa" w:w="317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显示降级提示，传统结果保留</w:t>
            </w:r>
          </w:p>
        </w:tc>
      </w:tr>
      <w:tr>
        <w:tc>
          <w:tcPr>
            <w:tcW w:type="dxa" w:w="238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证据缺失</w:t>
            </w:r>
          </w:p>
        </w:tc>
        <w:tc>
          <w:tcPr>
            <w:tcW w:type="dxa" w:w="351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不生成事实性回答</w:t>
            </w:r>
          </w:p>
        </w:tc>
        <w:tc>
          <w:tcPr>
            <w:tcW w:type="dxa" w:w="317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显示证据不足和待复核记录</w:t>
            </w:r>
          </w:p>
        </w:tc>
      </w:tr>
      <w:t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空输入</w:t>
            </w:r>
          </w:p>
        </w:tc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最新记录计划</w:t>
            </w:r>
          </w:p>
        </w:tc>
        <w:tc>
          <w:tcPr>
            <w:tcW w:type="dxa" w:w="317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显示常用筛选</w:t>
            </w:r>
          </w:p>
        </w:tc>
      </w:tr>
      <w:tr>
        <w:tc>
          <w:tcPr>
            <w:tcW w:type="dxa" w:w="238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无结果</w:t>
            </w:r>
          </w:p>
        </w:tc>
        <w:tc>
          <w:tcPr>
            <w:tcW w:type="dxa" w:w="351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空结果和可取消限制</w:t>
            </w:r>
          </w:p>
        </w:tc>
        <w:tc>
          <w:tcPr>
            <w:tcW w:type="dxa" w:w="317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不生成不存在的答案</w:t>
            </w:r>
          </w:p>
        </w:tc>
      </w:tr>
    </w:tbl>
    <w:p>
      <w:pPr>
        <w:spacing w:after="40"/>
      </w:pPr>
    </w:p>
    <w:p>
      <w:pPr>
        <w:pStyle w:val="Heading1"/>
      </w:pPr>
      <w:r>
        <w:t>React/Vite页面迁移</w:t>
      </w:r>
    </w:p>
    <w:p>
      <w:r>
        <w:rPr>
          <w:rFonts w:ascii="Arial" w:hAnsi="Arial" w:eastAsia="Microsoft YaHei"/>
          <w:b w:val="0"/>
          <w:color w:val="1F2937"/>
          <w:sz w:val="21"/>
        </w:rPr>
        <w:t>在frontend中用React、TypeScript和Vite迁移当前静态原型的搜索切换、QueryPlan、结果列表、详情、复核状态和证据对照。开发环境通过Vite代理/api，生产构建与Flask同源。把app.js中的3条虚构记录替换为服务端DTO。视觉使用民大红#A20000和中性色，不沿用墨绿主色。游客只能看到服务端生成的脱敏字段和派生资源，student/teacher经CAS/SSO查看授权字段，完整海报默认关闭，admin才可同步、复核、发布和查看日志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首页显示项目范围、实际数据量、最后更新时间、传统和自然语言入口。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结果页显示关键字段、来源、匹配原因、复核状态和缩略图或安全占位图。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详情页桌面左右分栏、移动上下排列，结构化字段与证据相邻。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错误和降级有明确文字，搜索条件不因失败而丢失。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CSV导出只包含当前公开DTO允许的字段。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390×844和768×1024视口无横向溢出，筛选、详情、证据展开和角色切换可触控。</w:t>
      </w:r>
    </w:p>
    <w:p>
      <w:pPr>
        <w:pStyle w:val="Heading1"/>
      </w:pPr>
      <w:r>
        <w:t>整合顺序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1.  用自建合法夹具先验证数据库和页面，不等待A/B；夹具必须标记为测试数据，不能进入演示实绩。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2.  导入A的5篇article bundle，记录成功、失败和重复数量。Schema错误原样反馈给A。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3.  导入B的5篇extraction bundle和evidence pack，检查文章外键、一帖多人、null、证据和review_required。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4.  拉取A的100篇状态台账，更新首页和管理状态；未抽取文章仍可显示处理状态，但不伪造人物记录。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5.  拉取B的20样本评测，只展示其原始结论，不由C重算出不同口径。</w:t>
      </w:r>
    </w:p>
    <w:p>
      <w:pPr>
        <w:pStyle w:val="Heading1"/>
      </w:pPr>
      <w:r>
        <w:t>性能和安全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81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453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721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通过条件</w:t>
            </w:r>
          </w:p>
        </w:tc>
      </w:tr>
      <w:t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查询性能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100行脱敏夹具，至少30次普通查询，记录每次耗时和P95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每次&lt;1秒，P95&lt;1秒</w:t>
            </w:r>
          </w:p>
        </w:tc>
      </w:tr>
      <w:tr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幂等导入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同一article和extraction bundle连续导入两次</w:t>
            </w:r>
          </w:p>
        </w:tc>
        <w:tc>
          <w:tcPr>
            <w:tcW w:type="dxa" w:w="272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articles和records数量不增加</w:t>
            </w:r>
          </w:p>
        </w:tc>
      </w:tr>
      <w:t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未知字段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向search或query/parse发送未允许字段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返回4xx，不执行查询</w:t>
            </w:r>
          </w:p>
        </w:tc>
      </w:tr>
      <w:tr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模型与证据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分别测试模型开启、关闭和证据缺失</w:t>
            </w:r>
          </w:p>
        </w:tc>
        <w:tc>
          <w:tcPr>
            <w:tcW w:type="dxa" w:w="272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有引用、可降级、不编造</w:t>
            </w:r>
          </w:p>
        </w:tc>
      </w:tr>
      <w:t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权限矩阵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guest、student/teacher、admin及越权请求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服务端字段与操作边界正确</w:t>
            </w:r>
          </w:p>
        </w:tc>
      </w:tr>
      <w:tr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LAN健康检查与云端部署清单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另一台LAN设备访问首页、传统查询和/healthz，并检查云端部署清单</w:t>
            </w:r>
          </w:p>
        </w:tc>
        <w:tc>
          <w:tcPr>
            <w:tcW w:type="dxa" w:w="272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LAN健康检查2xx；服务器、域名、反向代理、证书和续期项齐全</w:t>
            </w:r>
          </w:p>
        </w:tc>
      </w:tr>
      <w:tr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局域网灾备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host 0.0.0.0启动，另一设备访问</w:t>
            </w:r>
          </w:p>
        </w:tc>
        <w:tc>
          <w:tcPr>
            <w:tcW w:type="dxa" w:w="272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首页、搜索、详情均成功</w:t>
            </w:r>
          </w:p>
        </w:tc>
      </w:tr>
      <w:tr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移动视口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390×844和768×1024走关键页面</w:t>
            </w:r>
          </w:p>
        </w:tc>
        <w:tc>
          <w:tcPr>
            <w:tcW w:type="dxa" w:w="272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无横向溢出，交互可用</w:t>
            </w:r>
          </w:p>
        </w:tc>
      </w:tr>
    </w:tbl>
    <w:p>
      <w:pPr>
        <w:spacing w:after="40"/>
      </w:pPr>
    </w:p>
    <w:p>
      <w:pPr>
        <w:pStyle w:val="Heading1"/>
      </w:pPr>
      <w:r>
        <w:t>最终演示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1.  用另一台LAN设备打开React首页与/healthz，展示数据量和更新时间，并展示云端HTTPS部署清单。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2.  执行传统筛选并解释结果数量。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3.  执行自然语言查询并展示QueryPlan、证据检索和带引用结果。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4.  切换guest、student/teacher、admin并验证脱敏、授权字段、完整海报默认关闭、管理权限和越权拒绝。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5.  打开详情核对结构化字段、来源证据和CAS来源链接。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6.  展示review_required样本和原因。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7.  关闭模型并展示关键词降级，再展示一次证据不足路径。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8.  展示更新中断恢复与重复运行不增重。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9.  用两种移动视口复测关键页面，打开20样本评测说明模型门槛。</w:t>
      </w:r>
    </w:p>
    <w:p>
      <w:pPr>
        <w:pStyle w:val="Heading1"/>
      </w:pPr>
      <w:r>
        <w:t>Git 与整合</w:t>
      </w:r>
    </w:p>
    <w:p>
      <w:r>
        <w:rPr>
          <w:rFonts w:ascii="Arial" w:hAnsi="Arial" w:eastAsia="Microsoft YaHei"/>
          <w:b w:val="0"/>
          <w:color w:val="1F2937"/>
          <w:sz w:val="21"/>
        </w:rPr>
        <w:t>C维护feat/week1-core-search。共享契约先独立提交并合并；A、B合并后，C更新main并重跑接口、导入、搜索和公开DTO测试。冲突时保留上游业务输出，修改C的适配层；若必须改契约，另开PR并取得A、B确认。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51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建议提交</w:t>
            </w:r>
          </w:p>
        </w:tc>
        <w:tc>
          <w:tcPr>
            <w:tcW w:type="dxa" w:w="374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81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推送时点</w:t>
            </w:r>
          </w:p>
        </w:tc>
      </w:tr>
      <w:t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feat(core): add shared contracts and sqlite schema</w:t>
            </w:r>
          </w:p>
        </w:tc>
        <w:tc>
          <w:tcPr>
            <w:tcW w:type="dxa" w:w="374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Schema、实体、建表和导入</w:t>
            </w:r>
          </w:p>
        </w:tc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17日22:00前</w:t>
            </w:r>
          </w:p>
        </w:tc>
      </w:tr>
      <w:tr>
        <w:tc>
          <w:tcPr>
            <w:tcW w:type="dxa" w:w="351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feat(search): add filters fts and fallback</w:t>
            </w:r>
          </w:p>
        </w:tc>
        <w:tc>
          <w:tcPr>
            <w:tcW w:type="dxa" w:w="374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结构化查询、FTS5和LIKE</w:t>
            </w:r>
          </w:p>
        </w:tc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18日白天</w:t>
            </w:r>
          </w:p>
        </w:tc>
      </w:tr>
      <w:t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feat(web): migrate prototype to React Vite</w:t>
            </w:r>
          </w:p>
        </w:tc>
        <w:tc>
          <w:tcPr>
            <w:tcW w:type="dxa" w:w="374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Flask API、React/Vite和民大红视觉</w:t>
            </w:r>
          </w:p>
        </w:tc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18日22:00前</w:t>
            </w:r>
          </w:p>
        </w:tc>
      </w:tr>
      <w:tr>
        <w:tc>
          <w:tcPr>
            <w:tcW w:type="dxa" w:w="351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feat(web): add role policy and evidence answers</w:t>
            </w:r>
          </w:p>
        </w:tc>
        <w:tc>
          <w:tcPr>
            <w:tcW w:type="dxa" w:w="374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三角色DTO、引用回答和越权拒绝</w:t>
            </w:r>
          </w:p>
        </w:tc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19日18:00前</w:t>
            </w:r>
          </w:p>
        </w:tc>
      </w:tr>
      <w:t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feat(deploy): add lan health and https runbook</w:t>
            </w:r>
          </w:p>
        </w:tc>
        <w:tc>
          <w:tcPr>
            <w:tcW w:type="dxa" w:w="374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LAN健康检查、云端HTTPS清单和灾备说明</w:t>
            </w:r>
          </w:p>
        </w:tc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20日15:00前</w:t>
            </w:r>
          </w:p>
        </w:tc>
      </w:tr>
      <w:tr>
        <w:tc>
          <w:tcPr>
            <w:tcW w:type="dxa" w:w="351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test(core): verify imports privacy and latency</w:t>
            </w:r>
          </w:p>
        </w:tc>
        <w:tc>
          <w:tcPr>
            <w:tcW w:type="dxa" w:w="374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幂等、DTO、30次性能</w:t>
            </w:r>
          </w:p>
        </w:tc>
        <w:tc>
          <w:tcPr>
            <w:tcW w:type="dxa" w:w="181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20日15:00前</w:t>
            </w:r>
          </w:p>
        </w:tc>
      </w:tr>
      <w:tr>
        <w:tc>
          <w:tcPr>
            <w:tcW w:type="dxa" w:w="351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docs(week1): add demo and acceptance evidence</w:t>
            </w:r>
          </w:p>
        </w:tc>
        <w:tc>
          <w:tcPr>
            <w:tcW w:type="dxa" w:w="374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运行说明、录屏与台账</w:t>
            </w:r>
          </w:p>
        </w:tc>
        <w:tc>
          <w:tcPr>
            <w:tcW w:type="dxa" w:w="181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20日23:59前</w:t>
            </w:r>
          </w:p>
        </w:tc>
      </w:tr>
    </w:tbl>
    <w:p>
      <w:pPr>
        <w:spacing w:after="40"/>
      </w:pPr>
    </w:p>
    <w:p>
      <w:pPr>
        <w:pStyle w:val="Heading1"/>
        <w:spacing w:after="40" w:line="240" w:lineRule="auto"/>
      </w:pPr>
      <w:r>
        <w:t>附录 G 实现约束</w:t>
      </w:r>
    </w:p>
    <w:p>
      <w:pPr>
        <w:pStyle w:val="ListBullet"/>
        <w:spacing w:after="40" w:line="240" w:lineRule="auto"/>
      </w:pPr>
      <w:r>
        <w:rPr>
          <w:sz w:val="19"/>
        </w:rPr>
        <w:t>正式前端固定为 React、TypeScript 和 Vite，Flask只提供API。开发环境使用Vite代理/api，生产构建与Flask同源部署。</w:t>
      </w:r>
    </w:p>
    <w:p>
      <w:pPr>
        <w:pStyle w:val="ListBullet"/>
        <w:spacing w:after="40" w:line="240" w:lineRule="auto"/>
      </w:pPr>
      <w:r>
        <w:rPr>
          <w:sz w:val="19"/>
        </w:rPr>
        <w:t>视觉主强调色使用民大红#A20000。首页为单搜索框加传统/AI分段切换；桌面紧凑列表，移动端单列大卡。不得继续使用墨绿主色。</w:t>
      </w:r>
    </w:p>
    <w:p>
      <w:pPr>
        <w:pStyle w:val="ListBullet"/>
        <w:spacing w:after="40" w:line="240" w:lineRule="auto"/>
      </w:pPr>
      <w:r>
        <w:rPr>
          <w:sz w:val="19"/>
        </w:rPr>
        <w:t>正式认证目标为CAS/SSO。开发角色开关只在显式开发环境变量下可用，生产模式必须返回404或禁用。校内完整海报默认关闭。</w:t>
      </w:r>
    </w:p>
    <w:p>
      <w:pPr>
        <w:pStyle w:val="ListBullet"/>
        <w:spacing w:after="40" w:line="240" w:lineRule="auto"/>
      </w:pPr>
      <w:r>
        <w:rPr>
          <w:sz w:val="19"/>
        </w:rPr>
        <w:t>第一周不启用Embedding，当前项目不做语义检索。自然语言查询使用白名单QueryPlan、结构化/FTS5/LIKE检索和可选的带引用总结。</w:t>
      </w:r>
    </w:p>
    <w:p>
      <w:pPr>
        <w:pStyle w:val="ListBullet"/>
        <w:spacing w:after="40" w:line="240" w:lineRule="auto"/>
      </w:pPr>
      <w:r>
        <w:rPr>
          <w:sz w:val="19"/>
        </w:rPr>
        <w:t>第一周保住对比台、四Sheet Excel/CSV导出和当前结果可视化，并冻结保存搜索、站内提醒、隐私中心和无痕模式所需接口；第二周完成持久化。</w:t>
      </w:r>
    </w:p>
    <w:p>
      <w:pPr>
        <w:pStyle w:val="ListBullet"/>
        <w:spacing w:after="40" w:line="240" w:lineRule="auto"/>
      </w:pPr>
      <w:r>
        <w:rPr>
          <w:sz w:val="19"/>
        </w:rPr>
        <w:t>搜索历史和推荐默认关闭，用户主动开启后保存90天。访客响应不得包含姓名、头像、二维码、联系方式、会议入口、原始海报、本机路径或需要CAS的直接来源URL。</w:t>
      </w:r>
    </w:p>
    <w:p>
      <w:pPr>
        <w:pStyle w:val="ListBullet"/>
        <w:spacing w:after="40" w:line="240" w:lineRule="auto"/>
      </w:pPr>
      <w:r>
        <w:rPr>
          <w:sz w:val="19"/>
        </w:rPr>
        <w:t>本周以本机和另一台LAN设备访问及/healthz为部署硬门槛，并提交服务器、域名、反向代理、Let’s Encrypt证书、自动续期和备份清单。</w:t>
      </w:r>
    </w:p>
    <w:p>
      <w:pPr>
        <w:pStyle w:val="Heading1"/>
      </w:pPr>
      <w:r>
        <w:t>最终自查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A、B输出使用同一冻结Schema，5篇固定样本完整跑通。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一帖多人、null、review_required、failed和字段证据在数据库与页面一致。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100行夹具30次查询均小于1秒，记录原始耗时。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模型开启、关闭和证据缺失三条路径正确，未知字段被拒绝。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guest、student/teacher、admin权限和越权拒绝均由服务端验证。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本机和另一台LAN设备均可访问/healthz；云端HTTPS部署清单完整。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390×844和768×1024视口完成关键流程，录屏无个人信息。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main可运行，所有PR有检查，验收台账、README和已知限制已更新。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B7280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 C 数据库检索整合任务书</dc:title>
  <dc:subject>2026年9月第一周协作执行包</dc:subject>
  <dc:creator>选调信息智能检索系统项目组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