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第一周总体目标与协作执行手册</w:t>
      </w:r>
    </w:p>
    <w:p>
      <w:pPr>
        <w:spacing w:after="280"/>
      </w:pPr>
      <w:r>
        <w:rPr>
          <w:rFonts w:ascii="Arial" w:hAnsi="Arial" w:eastAsia="Microsoft YaHei"/>
          <w:b w:val="0"/>
          <w:color w:val="4B5563"/>
          <w:sz w:val="22"/>
        </w:rPr>
        <w:t>选调信息智能检索系统  三人协作与阶段验收说明</w:t>
      </w:r>
    </w:p>
    <w:p>
      <w:pPr>
        <w:spacing w:after="320"/>
      </w:pPr>
      <w:r>
        <w:rPr>
          <w:rFonts w:ascii="Arial" w:hAnsi="Arial" w:eastAsia="Microsoft YaHei"/>
          <w:b w:val="0"/>
          <w:color w:val="4B5563"/>
          <w:sz w:val="19"/>
        </w:rPr>
        <w:t>执行周期  2026年9月16日至9月20日    截止时间  9月20日23:59</w:t>
      </w:r>
    </w:p>
    <w:p>
      <w:r>
        <w:rPr>
          <w:rFonts w:ascii="Arial" w:hAnsi="Arial" w:eastAsia="Microsoft YaHei"/>
          <w:b w:val="0"/>
          <w:color w:val="1F2937"/>
          <w:sz w:val="21"/>
        </w:rPr>
        <w:t>本周先完成最容易造成返工的接口、数据和整合工作。9月20日晚上验收时，团队应能用5篇固定样本完整演示数据从采集到页面的全过程，同时用100篇状态台账和20张海报评测证明后续批量工作已有可靠基础。</w:t>
      </w:r>
    </w:p>
    <w:p>
      <w:pPr>
        <w:pStyle w:val="Heading1"/>
      </w:pPr>
      <w:r>
        <w:t>本周完成定义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30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验收门</w:t>
            </w:r>
          </w:p>
        </w:tc>
        <w:tc>
          <w:tcPr>
            <w:tcW w:type="dxa" w:w="464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必须看到的结果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数据覆盖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100篇目标文章全部登记，任何未成功项都有状态和原因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采集台账、失败日志、commit</w:t>
            </w:r>
          </w:p>
        </w:tc>
      </w:tr>
      <w:tr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纵向主链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5篇固定样本跑通采集、抽取、入库、查询和证据详情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录屏、样本bundle、数据库导入结果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抽取质量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同一20张海报完成金标准、OCR和多模态对照，五字段分别统计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评测原始表、指标、成本与耗时</w:t>
            </w:r>
          </w:p>
        </w:tc>
      </w:tr>
      <w:tr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查询体验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传统查询可用，证据型自然语言检索有引用，模型关闭时可降级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页面录屏、三路径接口结果</w:t>
            </w:r>
          </w:p>
        </w:tc>
      </w:tr>
      <w:tr>
        <w:tc>
          <w:tcPr>
            <w:tcW w:type="dxa" w:w="130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部署权限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公共HTTPS和健康检查可用，三类角色由服务端授权，局域网保留灾备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URL、角色矩阵、越权测试</w:t>
            </w:r>
          </w:p>
        </w:tc>
      </w:tr>
      <w:tr>
        <w:tc>
          <w:tcPr>
            <w:tcW w:type="dxa" w:w="130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性能适配</w:t>
            </w:r>
          </w:p>
        </w:tc>
        <w:tc>
          <w:tcPr>
            <w:tcW w:type="dxa" w:w="464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100行规模30次查询均小于1秒，390×844与768×1024可用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性能记录、移动截图、敏感扫描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b w:val="0"/>
          <w:color w:val="1F2937"/>
          <w:sz w:val="21"/>
        </w:rPr>
        <w:t>历史基线</w:t>
      </w:r>
    </w:p>
    <w:p>
      <w:pPr>
        <w:pStyle w:val="Heading1"/>
      </w:pPr>
      <w:r>
        <w:t>团队分工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6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负责结果</w:t>
            </w:r>
          </w:p>
        </w:tc>
        <w:tc>
          <w:tcPr>
            <w:tcW w:type="dxa" w:w="266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独占目录</w:t>
            </w:r>
          </w:p>
        </w:tc>
        <w:tc>
          <w:tcPr>
            <w:tcW w:type="dxa" w:w="260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向谁交付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登录、接口采集、Scheduler/SyncService、断点续采和100篇状态台账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采集/同步/测试 + progress/A + evidence/A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向B交文章与素材引用，向C交文章bundle与同步状态</w:t>
            </w:r>
          </w:p>
        </w:tc>
      </w:tr>
      <w:tr>
        <w:tc>
          <w:tcPr>
            <w:tcW w:type="dxa" w:w="680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OCR、规则抽取、一帖多人、evidence pack、20样本模型对照</w:t>
            </w:r>
          </w:p>
        </w:tc>
        <w:tc>
          <w:tcPr>
            <w:tcW w:type="dxa" w:w="2665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抽取/测试/金标准/报告 + progress/B + evidence/B</w:t>
            </w:r>
          </w:p>
        </w:tc>
        <w:tc>
          <w:tcPr>
            <w:tcW w:type="dxa" w:w="260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向C交抽取bundle、证据包、评测指标和复核队列</w:t>
            </w:r>
          </w:p>
        </w:tc>
      </w:tr>
      <w:tr>
        <w:tc>
          <w:tcPr>
            <w:tcW w:type="dxa" w:w="6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接口契约、SQLite、权限、Evidence-RAG、HTTPS部署和整合</w:t>
            </w:r>
          </w:p>
        </w:tc>
        <w:tc>
          <w:tcPr>
            <w:tcW w:type="dxa" w:w="26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领域/仓储/搜索/Web/Schema/docs + progress/C + evidence/C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向全组交可运行系统、台账和最终演示</w:t>
            </w:r>
          </w:p>
        </w:tc>
      </w:tr>
    </w:tbl>
    <w:p>
      <w:pPr>
        <w:spacing w:after="40"/>
      </w:pPr>
    </w:p>
    <w:p>
      <w:pPr>
        <w:pStyle w:val="Heading1"/>
      </w:pPr>
      <w:r>
        <w:t>逐日安排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截止时间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A</w:t>
            </w:r>
          </w:p>
        </w:tc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B</w:t>
            </w:r>
          </w:p>
        </w:tc>
        <w:tc>
          <w:tcPr>
            <w:tcW w:type="dxa" w:w="192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C</w:t>
            </w:r>
          </w:p>
        </w:tc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当天合并条件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9月17日12:00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确认接口和现有素材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建好OCR环境与标注格式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冻结数据字典、Schema和项目骨架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A、B各确认一次契约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9月17日18:00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交5篇脱敏固定样本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准备抽取烟测并接收样本</w:t>
            </w:r>
          </w:p>
        </w:tc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准备SQLite导入夹具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A交付后B/C开始4小时接收窗口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9月17日22:00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处理接收反馈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完成5篇固定样本抽取烟测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完成5篇固定样本导入烟测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两种bundle都通过Schema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9月18日22:00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形成100篇状态台账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20张金标准、规则和批处理入口</w:t>
            </w:r>
          </w:p>
        </w:tc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传统搜索、详情与证据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失败项都有原因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9月19日18:00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同步模块、调度器与测试证据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OCR/多模态对照和证据包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接入A/B，权限和证据检索可用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5篇主链现场跑通</w:t>
            </w:r>
          </w:p>
        </w:tc>
      </w:tr>
      <w:tr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9月20日15:00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功能冻结</w:t>
            </w:r>
          </w:p>
        </w:tc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功能冻结</w:t>
            </w:r>
          </w:p>
        </w:tc>
        <w:tc>
          <w:tcPr>
            <w:tcW w:type="dxa" w:w="192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公共HTTPS、健康检查、移动端、性能和录屏</w:t>
            </w:r>
          </w:p>
        </w:tc>
        <w:tc>
          <w:tcPr>
            <w:tcW w:type="dxa" w:w="226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仅保留P0/P1修复</w:t>
            </w:r>
          </w:p>
        </w:tc>
      </w:tr>
      <w:tr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9月20日23:59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配合复测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配合复测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审查、修正、合并发布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P0清零，P1有处理结论</w:t>
            </w:r>
          </w:p>
        </w:tc>
      </w:tr>
    </w:tbl>
    <w:p>
      <w:pPr>
        <w:spacing w:after="40"/>
      </w:pPr>
    </w:p>
    <w:p>
      <w:pPr>
        <w:pStyle w:val="Heading1"/>
      </w:pPr>
      <w:r>
        <w:t>协作顺序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C先提交接口字典和两份JSON Schema。A、B在Schema合并前只做环境和本地探索，不各自发明字段。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A按article_bundle.v1在9月17日18:00前交5篇固定样本。B和C从同一个commit接收，不使用聊天窗口中散落的临时文件；18:00至22:00是固定的接收、校验和反馈窗口。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B把固定样本转为extraction_bundle.v1。C先导入5篇，不等待全部100篇处理完再开始整合。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A后续只增量追加文章状态，B后续只增量追加抽取结果。版本字段不变时，C不得另写一次性适配格式。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5.  生产者在PR和验收表登记commit。接收方在4小时内拉取、校验、填写接收结果；不合格当日退回。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79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生产者</w:t>
            </w:r>
          </w:p>
        </w:tc>
        <w:tc>
          <w:tcPr>
            <w:tcW w:type="dxa" w:w="124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最晚交付</w:t>
            </w:r>
          </w:p>
        </w:tc>
        <w:tc>
          <w:tcPr>
            <w:tcW w:type="dxa" w:w="323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接收者如何使用</w:t>
            </w:r>
          </w:p>
        </w:tc>
        <w:tc>
          <w:tcPr>
            <w:tcW w:type="dxa" w:w="209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接收验收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接口字典与Schema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17日12:00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A/B生成输出前本地校验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示例可通过，非法字段会失败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5篇article bundle</w:t>
            </w:r>
          </w:p>
        </w:tc>
        <w:tc>
          <w:tcPr>
            <w:tcW w:type="dxa" w:w="7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17日18:00</w:t>
            </w:r>
          </w:p>
        </w:tc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B按文本规则/海报OCR/混合路径烟测，C做文章入库</w:t>
            </w:r>
          </w:p>
        </w:tc>
        <w:tc>
          <w:tcPr>
            <w:tcW w:type="dxa" w:w="20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5/5通过Schema，素材引用可定位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100篇状态台账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18日22:00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C导入articles与处理状态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无静默遗漏，无重复notice_id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5篇extraction bundle</w:t>
            </w:r>
          </w:p>
        </w:tc>
        <w:tc>
          <w:tcPr>
            <w:tcW w:type="dxa" w:w="7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</w:t>
            </w:r>
          </w:p>
        </w:tc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19日12:00</w:t>
            </w:r>
          </w:p>
        </w:tc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C导入人物、证据与复核状态</w:t>
            </w:r>
          </w:p>
        </w:tc>
        <w:tc>
          <w:tcPr>
            <w:tcW w:type="dxa" w:w="20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一帖多人正确，null不被补值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20样本评测</w:t>
            </w:r>
          </w:p>
        </w:tc>
        <w:tc>
          <w:tcPr>
            <w:tcW w:type="dxa" w:w="7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B</w:t>
            </w:r>
          </w:p>
        </w:tc>
        <w:tc>
          <w:tcPr>
            <w:tcW w:type="dxa" w:w="124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19日18:00</w:t>
            </w:r>
          </w:p>
        </w:tc>
        <w:tc>
          <w:tcPr>
            <w:tcW w:type="dxa" w:w="323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C在演示中说明模型选型</w:t>
            </w:r>
          </w:p>
        </w:tc>
        <w:tc>
          <w:tcPr>
            <w:tcW w:type="dxa" w:w="209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分子分母可重算，五字段单列</w:t>
            </w:r>
          </w:p>
        </w:tc>
      </w:tr>
      <w:tr>
        <w:tc>
          <w:tcPr>
            <w:tcW w:type="dxa" w:w="170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HTTPS与灾备演示包</w:t>
            </w:r>
          </w:p>
        </w:tc>
        <w:tc>
          <w:tcPr>
            <w:tcW w:type="dxa" w:w="79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</w:t>
            </w:r>
          </w:p>
        </w:tc>
        <w:tc>
          <w:tcPr>
            <w:tcW w:type="dxa" w:w="1247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20日15:00</w:t>
            </w:r>
          </w:p>
        </w:tc>
        <w:tc>
          <w:tcPr>
            <w:tcW w:type="dxa" w:w="3231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A/B分别公网和局域网复测</w:t>
            </w:r>
          </w:p>
        </w:tc>
        <w:tc>
          <w:tcPr>
            <w:tcW w:type="dxa" w:w="209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健康检查、权限、移动端和演示均有证据</w:t>
            </w:r>
          </w:p>
        </w:tc>
      </w:tr>
    </w:tbl>
    <w:p>
      <w:pPr>
        <w:spacing w:after="40"/>
      </w:pPr>
    </w:p>
    <w:p>
      <w:pPr>
        <w:pStyle w:val="Heading1"/>
      </w:pPr>
      <w:r>
        <w:t>Git 工作方式</w:t>
      </w:r>
    </w:p>
    <w:p>
      <w:r>
        <w:rPr>
          <w:rFonts w:ascii="Arial" w:hAnsi="Arial" w:eastAsia="Microsoft YaHei"/>
          <w:b w:val="0"/>
          <w:color w:val="1F2937"/>
          <w:sz w:val="21"/>
        </w:rPr>
        <w:t>三人从main更新后分别使用feat/week1-portal-sync、feat/week1-extraction-eval和feat/week1-core-search。一个分支对应一名角色的本周功能，一个提交对应一个可以独立测试和被队友使用的切片。不要为每个文件建分支，也不要把全部工作压成一个大提交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color w:val="1F2937"/>
          <w:sz w:val="21"/>
        </w:rPr>
        <w:t>每天至少push一次，第一天建立Draft PR，让其他成员能提前看到接口和目录。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color w:val="1F2937"/>
          <w:sz w:val="21"/>
        </w:rPr>
        <w:t>代码提交使用feat(scope)或test(scope)，执行材料使用docs(week1)。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color w:val="1F2937"/>
          <w:sz w:val="21"/>
        </w:rPr>
        <w:t>合并顺序为契约、A采集、B抽取、C整合。C可并行开发，但每次上游合并后必须rebase或更新main并重跑受影响测试。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color w:val="1F2937"/>
          <w:sz w:val="21"/>
        </w:rPr>
        <w:t>main必须可运行。所有PR至少一名队友检查；C负责根配置、依赖、Schema和最终冲突处理。</w:t>
      </w:r>
    </w:p>
    <w:p>
      <w:pPr>
        <w:pStyle w:val="Heading1"/>
      </w:pPr>
      <w:r>
        <w:t>验收材料</w:t>
      </w:r>
    </w:p>
    <w:p>
      <w:r>
        <w:rPr>
          <w:rFonts w:ascii="Arial" w:hAnsi="Arial" w:eastAsia="Microsoft YaHei"/>
          <w:b w:val="0"/>
          <w:color w:val="1F2937"/>
          <w:sz w:val="21"/>
        </w:rPr>
        <w:t>验收台账采用单写者规则，由C统一提交。A、B先把实际值、证据路径和交接信息写入各自progress/week1/&lt;角色&gt;/PROGRESS.md或PR清单，C每天12:00和22:00至少回填两次。截图、日志和小型JSON放入evidence/week1对应角色目录；录屏等大文件使用共享链接或GitHub附件。任何证据在提交前必须检查姓名、账号、Cookie、密钥、原始海报和绝对路径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A：100篇台账、5篇固定样本、Scheduler/SyncService、429重试、单实例锁、断点恢复、幂等和脱敏检查。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B：20张人工答案、OCR与多模态原始结果、逐字段准确率、证据包、完整记录准确率、耗时、成本、复核队列。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C：数据库结构、导入统计、30次性能、公共HTTPS与健康检查、三角色权限、移动视口、局域网灾备、三种检索路径。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每次交接：生产者commit、接收者使用版本、Schema校验结果、接收时间、问题及处理。</w:t>
      </w:r>
    </w:p>
    <w:p>
      <w:pPr>
        <w:pStyle w:val="Heading1"/>
      </w:pPr>
      <w:r>
        <w:t>演示流程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1.  用公共HTTPS地址打开首页和健康检查，展示实际文章数、人物记录数和最近更新时间；说明局域网灾备地址。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2.  选择届别、学历、专业、城市或岗位条件，完成传统查询。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3.  输入自然语言需求，展示白名单QueryPlan、证据检索和带字段引用的结果或回答。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4.  分别以guest、student/teacher和admin验证脱敏详情、校内完整视图、管理权限与越权拒绝。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5.  打开一条结果，左右查看结构化字段、原文或OCR证据、CAS来源链接和复核状态。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6.  打开一个低置信度样本，说明为什么进入review_required以及如何复核。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7.  关闭模型配置，再执行自然语言查询，展示degraded提示和仍可用的传统结果。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8.  展示一次中断恢复和一次重复同步，说明未重复插入数据。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9.  用390×844与768×1024视口检查首页、筛选、详情、证据展开和角色切换。</w:t>
      </w:r>
    </w:p>
    <w:p>
      <w:pPr>
        <w:spacing w:after="80"/>
        <w:ind w:left="312" w:hanging="255"/>
      </w:pPr>
      <w:r>
        <w:rPr>
          <w:rFonts w:ascii="Arial" w:hAnsi="Arial" w:eastAsia="Microsoft YaHei"/>
          <w:b w:val="0"/>
          <w:color w:val="1F2937"/>
          <w:sz w:val="21"/>
        </w:rPr>
        <w:t>10.  打开20样本评测表，说明OCR、多模态、90%字段门槛和5个百分点启用门槛。</w:t>
      </w:r>
    </w:p>
    <w:p>
      <w:r>
        <w:br w:type="page"/>
      </w:r>
    </w:p>
    <w:p>
      <w:pPr>
        <w:pStyle w:val="Heading1"/>
      </w:pPr>
      <w:r>
        <w:t>风险与降级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413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当天处理</w:t>
            </w:r>
          </w:p>
        </w:tc>
        <w:tc>
          <w:tcPr>
            <w:tcW w:type="dxa" w:w="311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不可接受的做法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CAS或Cookie失效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暂停更新，重新人工登录；已入库查询继续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把账号密码写进代码或共享Cookie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门户接口变化</w:t>
            </w:r>
          </w:p>
        </w:tc>
        <w:tc>
          <w:tcPr>
            <w:tcW w:type="dxa" w:w="413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保留响应和错误位置；用合法保存的脱敏JSON继续演示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静默跳过或随机UA规避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海报模糊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保留OCR文本和证据，标记待复核，尝试多模态或人工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猜测缺失字段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模型API不可用</w:t>
            </w:r>
          </w:p>
        </w:tc>
        <w:tc>
          <w:tcPr>
            <w:tcW w:type="dxa" w:w="413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关闭模型调用并走传统查询降级，保留证据引用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让AI直接生成SQL或伪造模型结果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公网部署不可用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记录为P0阻塞并保留局域网灾备，继续修复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把局域网验收冒充公共HTTPS</w:t>
            </w:r>
          </w:p>
        </w:tc>
      </w:tr>
      <w:tr>
        <w:tc>
          <w:tcPr>
            <w:tcW w:type="dxa" w:w="1814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上游交付延迟</w:t>
            </w:r>
          </w:p>
        </w:tc>
        <w:tc>
          <w:tcPr>
            <w:tcW w:type="dxa" w:w="413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C使用固定契约夹具继续；实际结果到达后重跑</w:t>
            </w:r>
          </w:p>
        </w:tc>
        <w:tc>
          <w:tcPr>
            <w:tcW w:type="dxa" w:w="3118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临时发明第二套接口</w:t>
            </w:r>
          </w:p>
        </w:tc>
      </w:tr>
      <w:t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时间不足</w:t>
            </w:r>
          </w:p>
        </w:tc>
        <w:tc>
          <w:tcPr>
            <w:tcW w:type="dxa" w:w="413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先删页面装饰和附加统计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删5篇主链、20样本、100篇状态或证据</w:t>
            </w:r>
          </w:p>
        </w:tc>
      </w:tr>
    </w:tbl>
    <w:p>
      <w:pPr>
        <w:spacing w:after="40"/>
      </w:pPr>
    </w:p>
    <w:p>
      <w:pPr>
        <w:pStyle w:val="Heading1"/>
      </w:pPr>
      <w:r>
        <w:t>发布前检查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五个P0验收门均已在Excel总览显示通过，实际值与证据能够互相核对。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独立审查报告中的P0全部关闭，P1已有修正或明确处理结论。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README可直接找到三份角色任务书、接口字典、验收表和AI任务书。</w:t>
      </w:r>
    </w:p>
    <w:p>
      <w:pPr>
        <w:spacing w:after="60"/>
        <w:ind w:left="170" w:hanging="170"/>
      </w:pPr>
      <w:r>
        <w:rPr>
          <w:rFonts w:ascii="Arial" w:hAnsi="Arial" w:eastAsia="Microsoft YaHei"/>
          <w:b w:val="0"/>
          <w:color w:val="1F2937"/>
          <w:sz w:val="21"/>
        </w:rPr>
        <w:t>□  仓库敏感扫描为0，main可运行，所有合并均经过PR和队友检查。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第一周总体目标与协作执行手册</dc:title>
  <dc:subject>2026年9月第一周协作执行包</dc:subject>
  <dc:creator>选调信息智能检索系统项目组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