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角色 A 采集与更新任务书</w:t>
      </w:r>
    </w:p>
    <w:p>
      <w:pPr>
        <w:spacing w:after="280"/>
      </w:pPr>
      <w:r>
        <w:rPr>
          <w:rFonts w:ascii="Arial" w:hAnsi="Arial" w:eastAsia="Microsoft YaHei"/>
          <w:b w:val="0"/>
          <w:color w:val="4B5563"/>
          <w:sz w:val="22"/>
        </w:rPr>
        <w:t>登录  接口  Scheduler  SyncService  断点续采  100篇状态台账</w:t>
      </w:r>
    </w:p>
    <w:p>
      <w:pPr>
        <w:spacing w:after="320"/>
      </w:pPr>
      <w:r>
        <w:rPr>
          <w:rFonts w:ascii="Arial" w:hAnsi="Arial" w:eastAsia="Microsoft YaHei"/>
          <w:b w:val="0"/>
          <w:color w:val="4B5563"/>
          <w:sz w:val="19"/>
        </w:rPr>
        <w:t>执行周期  2026年9月16日至9月20日    截止时间  9月20日23:59</w:t>
      </w:r>
    </w:p>
    <w:p>
      <w:r>
        <w:rPr>
          <w:rFonts w:ascii="Arial" w:hAnsi="Arial" w:eastAsia="Microsoft YaHei"/>
          <w:b w:val="0"/>
          <w:color w:val="1F2937"/>
          <w:sz w:val="21"/>
        </w:rPr>
        <w:t>角色A必须先交付可被B和C消费的5篇固定样本，再扩展到100篇状态台账。验收看真实状态、恢复能力和幂等结果，不以下载文件数量代替完成。</w:t>
      </w:r>
    </w:p>
    <w:p>
      <w:pPr>
        <w:pStyle w:val="Heading1"/>
      </w:pPr>
      <w:r>
        <w:t>交付结果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68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005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304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截止</w:t>
            </w:r>
          </w:p>
        </w:tc>
        <w:tc>
          <w:tcPr>
            <w:tcW w:type="dxa" w:w="1134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接收人</w:t>
            </w:r>
          </w:p>
        </w:tc>
        <w:tc>
          <w:tcPr>
            <w:tcW w:type="dxa" w:w="2948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硬指标</w:t>
            </w:r>
          </w:p>
        </w:tc>
      </w:tr>
      <w:tr>
        <w:tc>
          <w:tcPr>
            <w:tcW w:type="dxa" w:w="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A1</w:t>
            </w:r>
          </w:p>
        </w:tc>
        <w:tc>
          <w:tcPr>
            <w:tcW w:type="dxa" w:w="300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接口与素材可用性核查</w:t>
            </w:r>
          </w:p>
        </w:tc>
        <w:tc>
          <w:tcPr>
            <w:tcW w:type="dxa" w:w="13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17日12:00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端点、参数、登录方式和缺口有记录</w:t>
            </w:r>
          </w:p>
        </w:tc>
      </w:tr>
      <w:tr>
        <w:tc>
          <w:tcPr>
            <w:tcW w:type="dxa" w:w="680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A2</w:t>
            </w:r>
          </w:p>
        </w:tc>
        <w:tc>
          <w:tcPr>
            <w:tcW w:type="dxa" w:w="300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5篇article_bundle.v1固定样本</w:t>
            </w:r>
          </w:p>
        </w:tc>
        <w:tc>
          <w:tcPr>
            <w:tcW w:type="dxa" w:w="130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17日18:00</w:t>
            </w:r>
          </w:p>
        </w:tc>
        <w:tc>
          <w:tcPr>
            <w:tcW w:type="dxa" w:w="113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B、C</w:t>
            </w:r>
          </w:p>
        </w:tc>
        <w:tc>
          <w:tcPr>
            <w:tcW w:type="dxa" w:w="2948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5/5 Schema通过，素材摘要可核对</w:t>
            </w:r>
          </w:p>
        </w:tc>
      </w:tr>
      <w:tr>
        <w:tc>
          <w:tcPr>
            <w:tcW w:type="dxa" w:w="68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A3</w:t>
            </w:r>
          </w:p>
        </w:tc>
        <w:tc>
          <w:tcPr>
            <w:tcW w:type="dxa" w:w="300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100篇采集状态台账</w:t>
            </w:r>
          </w:p>
        </w:tc>
        <w:tc>
          <w:tcPr>
            <w:tcW w:type="dxa" w:w="130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18日22:00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</w:t>
            </w:r>
          </w:p>
        </w:tc>
        <w:tc>
          <w:tcPr>
            <w:tcW w:type="dxa" w:w="29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每篇有状态，失败有原因，无重复notice_id</w:t>
            </w:r>
          </w:p>
        </w:tc>
      </w:tr>
      <w:tr>
        <w:tc>
          <w:tcPr>
            <w:tcW w:type="dxa" w:w="680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A4</w:t>
            </w:r>
          </w:p>
        </w:tc>
        <w:tc>
          <w:tcPr>
            <w:tcW w:type="dxa" w:w="300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Scheduler、SyncService、测试和证据</w:t>
            </w:r>
          </w:p>
        </w:tc>
        <w:tc>
          <w:tcPr>
            <w:tcW w:type="dxa" w:w="130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19日18:00</w:t>
            </w:r>
          </w:p>
        </w:tc>
        <w:tc>
          <w:tcPr>
            <w:tcW w:type="dxa" w:w="1134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C</w:t>
            </w:r>
          </w:p>
        </w:tc>
        <w:tc>
          <w:tcPr>
            <w:tcW w:type="dxa" w:w="2948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周期配置、单实例锁、重试、恢复、幂等均可复现</w:t>
            </w:r>
          </w:p>
        </w:tc>
      </w:tr>
    </w:tbl>
    <w:p>
      <w:pPr>
        <w:spacing w:after="40"/>
      </w:pPr>
    </w:p>
    <w:p>
      <w:pPr>
        <w:pStyle w:val="Heading1"/>
      </w:pPr>
      <w:r>
        <w:t>开始前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从main新建feat/week1-portal-sync，确认工作区没有其他成员未提交文件。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阅读README、ARCHITECTURE、TEAM_RULES、第一周接口字典和article bundle Schema。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核对现有素材数量、来源、是否包含个人信息、是否允许形成脱敏测试样本。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建立progress/week1/A/PROGRESS.md和BLOCKED.md。实际接口、清单或环境与文档不符时先记录，不修改公共契约。</w:t>
      </w:r>
    </w:p>
    <w:p>
      <w:pPr>
        <w:pStyle w:val="Heading1"/>
      </w:pPr>
      <w:r>
        <w:t>登录与会话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1.  使用有界面Playwright打开CAS，由本人在浏览器中输入账号和密码。程序不得读取键盘输入，也不得把账号写入配置。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2.  登录完成后，只把当前Cookie复制到内存中的requests.Session。默认不落盘；确需本机临时恢复时必须保存在.gitignore覆盖的私有目录并在任务结束后清除。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3.  在同步前调用一个只读接口验证会话。失效时停止更新并提示重新登录，不清空已入库结果。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4.  证据截图只显示登录成功后的无敏感页面，裁掉学号、姓名、Cookie和浏览器开发者工具敏感内容。</w:t>
      </w:r>
    </w:p>
    <w:p>
      <w:pPr>
        <w:pStyle w:val="Heading1"/>
      </w:pPr>
      <w:r>
        <w:t>接口客户端</w:t>
      </w:r>
    </w:p>
    <w:p>
      <w:r>
        <w:rPr>
          <w:rFonts w:ascii="Arial" w:hAnsi="Arial" w:eastAsia="Microsoft YaHei"/>
          <w:b w:val="0"/>
          <w:color w:val="1F2937"/>
          <w:sz w:val="21"/>
        </w:rPr>
        <w:t>列表使用getNoticeByPage，详情使用getNotice。端点、栏目、分页大小和筛选关键词放入配置，代码中不得散落硬编码。列表阶段保存notice_id、标题、发布时间和来源链接，详情阶段再取得正文和图片引用。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247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4535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实现要求</w:t>
            </w:r>
          </w:p>
        </w:tc>
        <w:tc>
          <w:tcPr>
            <w:tcW w:type="dxa" w:w="3288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验收方法</w:t>
            </w:r>
          </w:p>
        </w:tc>
      </w:tr>
      <w:tr>
        <w:tc>
          <w:tcPr>
            <w:tcW w:type="dxa" w:w="124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限速</w:t>
            </w:r>
          </w:p>
        </w:tc>
        <w:tc>
          <w:tcPr>
            <w:tcW w:type="dxa" w:w="45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相邻门户请求开始时间差0.8至1.5秒；测试可注入时钟</w:t>
            </w:r>
          </w:p>
        </w:tc>
        <w:tc>
          <w:tcPr>
            <w:tcW w:type="dxa" w:w="32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日志显示相邻开始时间差落在范围内</w:t>
            </w:r>
          </w:p>
        </w:tc>
      </w:tr>
      <w:tr>
        <w:tc>
          <w:tcPr>
            <w:tcW w:type="dxa" w:w="1247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重试</w:t>
            </w:r>
          </w:p>
        </w:tc>
        <w:tc>
          <w:tcPr>
            <w:tcW w:type="dxa" w:w="453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初次尝试1次，最多额外重试3次，逐步延长等待</w:t>
            </w:r>
          </w:p>
        </w:tc>
        <w:tc>
          <w:tcPr>
            <w:tcW w:type="dxa" w:w="3288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模拟429并核对尝试序号、总尝试4次上限和最终状态</w:t>
            </w:r>
          </w:p>
        </w:tc>
      </w:tr>
      <w:tr>
        <w:tc>
          <w:tcPr>
            <w:tcW w:type="dxa" w:w="124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分页</w:t>
            </w:r>
          </w:p>
        </w:tc>
        <w:tc>
          <w:tcPr>
            <w:tcW w:type="dxa" w:w="45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保存当前页和最后notice_id，重复页去重</w:t>
            </w:r>
          </w:p>
        </w:tc>
        <w:tc>
          <w:tcPr>
            <w:tcW w:type="dxa" w:w="32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重放重复页后总数不变</w:t>
            </w:r>
          </w:p>
        </w:tc>
      </w:tr>
      <w:tr>
        <w:tc>
          <w:tcPr>
            <w:tcW w:type="dxa" w:w="1247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逐篇保存</w:t>
            </w:r>
          </w:p>
        </w:tc>
        <w:tc>
          <w:tcPr>
            <w:tcW w:type="dxa" w:w="453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每篇结束立即保存状态和失败原因</w:t>
            </w:r>
          </w:p>
        </w:tc>
        <w:tc>
          <w:tcPr>
            <w:tcW w:type="dxa" w:w="3288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中断后已完成项仍在</w:t>
            </w:r>
          </w:p>
        </w:tc>
      </w:tr>
      <w:tr>
        <w:tc>
          <w:tcPr>
            <w:tcW w:type="dxa" w:w="124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恢复</w:t>
            </w:r>
          </w:p>
        </w:tc>
        <w:tc>
          <w:tcPr>
            <w:tcW w:type="dxa" w:w="45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只处理pending或明确允许重试的failed项</w:t>
            </w:r>
          </w:p>
        </w:tc>
        <w:tc>
          <w:tcPr>
            <w:tcW w:type="dxa" w:w="328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中断再启动从未完成项继续</w:t>
            </w:r>
          </w:p>
        </w:tc>
      </w:tr>
      <w:tr>
        <w:tc>
          <w:tcPr>
            <w:tcW w:type="dxa" w:w="1247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幂等</w:t>
            </w:r>
          </w:p>
        </w:tc>
        <w:tc>
          <w:tcPr>
            <w:tcW w:type="dxa" w:w="453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notice_id唯一，重复运行做更新</w:t>
            </w:r>
          </w:p>
        </w:tc>
        <w:tc>
          <w:tcPr>
            <w:tcW w:type="dxa" w:w="3288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连续运行两次文章数不增加</w:t>
            </w:r>
          </w:p>
        </w:tc>
      </w:tr>
    </w:tbl>
    <w:p>
      <w:pPr>
        <w:spacing w:after="40"/>
      </w:pPr>
    </w:p>
    <w:p>
      <w:pPr>
        <w:pStyle w:val="Heading1"/>
      </w:pPr>
      <w:r>
        <w:t>Scheduler 与 SyncService</w:t>
      </w:r>
    </w:p>
    <w:p>
      <w:r>
        <w:rPr>
          <w:rFonts w:ascii="Arial" w:hAnsi="Arial" w:eastAsia="Microsoft YaHei"/>
          <w:b w:val="0"/>
          <w:color w:val="1F2937"/>
          <w:sz w:val="21"/>
        </w:rPr>
        <w:t>SyncService是唯一增量同步入口，接收上次游标和当前会话，返回任务ID、游标、成功数、失败数与状态。Scheduler只负责周期配置、单实例锁和调用SyncService，不复制采集逻辑。CAS会话失效时任务暂停并提示人工登录，已入库查询继续可用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本地配置一个可加速验证的周期任务，证明调度触发且不会并发启动第二实例。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中断任务后从上次游标继续；重启与重复触发都不增加重复notice_id。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任务状态和失败原因能被C的状态页读取；敏感会话信息不进入状态响应。</w:t>
      </w:r>
    </w:p>
    <w:p>
      <w:pPr>
        <w:pStyle w:val="Heading1"/>
      </w:pPr>
      <w:r>
        <w:t>固定5篇样本</w:t>
      </w:r>
    </w:p>
    <w:p>
      <w:r>
        <w:rPr>
          <w:rFonts w:ascii="Arial" w:hAnsi="Arial" w:eastAsia="Microsoft YaHei"/>
          <w:b w:val="0"/>
          <w:color w:val="1F2937"/>
          <w:sz w:val="21"/>
        </w:rPr>
        <w:t>优先选择2篇文本、2篇海报和1篇多人或混合内容，以便B和C尽早暴露边界问题。若现有素材无法满足，应保留真实构成并在交接表中说明，不得伪造样本类型。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每篇都有稳定notice_id、标题、来源链接、发布时间或null、内容类型和采集时间。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文本帖提供脱敏clean_text；海报只提供private://引用和SHA-256，原图通过受控渠道交B。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失败样本的fetch_status为failed且failure_reason非空；成功样本不得残留失败原因。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使用schemas/article_bundle.v1.schema.json校验5/5通过，再把commit发给B和C。</w:t>
      </w:r>
    </w:p>
    <w:p>
      <w:pPr>
        <w:pStyle w:val="Heading1"/>
      </w:pPr>
      <w:r>
        <w:t>100篇状态台账</w:t>
      </w:r>
    </w:p>
    <w:p>
      <w:r>
        <w:rPr>
          <w:rFonts w:ascii="Arial" w:hAnsi="Arial" w:eastAsia="Microsoft YaHei"/>
          <w:b w:val="0"/>
          <w:color w:val="1F2937"/>
          <w:sz w:val="21"/>
        </w:rPr>
        <w:t>台账至少包含notice_id、标题、内容类型、列表获取状态、详情获取状态、素材状态、最终状态、失败原因、首次发现时间、最后尝试时间和尝试次数。目标清单不足100篇时，必须显示实际数量和缺口来源，不得补造空记录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417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4535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使用条件</w:t>
            </w:r>
          </w:p>
        </w:tc>
        <w:tc>
          <w:tcPr>
            <w:tcW w:type="dxa" w:w="3118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41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pending</w:t>
            </w:r>
          </w:p>
        </w:tc>
        <w:tc>
          <w:tcPr>
            <w:tcW w:type="dxa" w:w="45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已发现但尚未完成详情或素材处理</w:t>
            </w:r>
          </w:p>
        </w:tc>
        <w:tc>
          <w:tcPr>
            <w:tcW w:type="dxa" w:w="311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下次恢复继续</w:t>
            </w:r>
          </w:p>
        </w:tc>
      </w:tr>
      <w:tr>
        <w:tc>
          <w:tcPr>
            <w:tcW w:type="dxa" w:w="1417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processed</w:t>
            </w:r>
          </w:p>
        </w:tc>
        <w:tc>
          <w:tcPr>
            <w:tcW w:type="dxa" w:w="453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文章bundle结构完整且通过校验</w:t>
            </w:r>
          </w:p>
        </w:tc>
        <w:tc>
          <w:tcPr>
            <w:tcW w:type="dxa" w:w="3118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交B和C</w:t>
            </w:r>
          </w:p>
        </w:tc>
      </w:tr>
      <w:tr>
        <w:tc>
          <w:tcPr>
            <w:tcW w:type="dxa" w:w="1417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review_required</w:t>
            </w:r>
          </w:p>
        </w:tc>
        <w:tc>
          <w:tcPr>
            <w:tcW w:type="dxa" w:w="45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素材、内容类型或脱敏需要人工确认</w:t>
            </w:r>
          </w:p>
        </w:tc>
        <w:tc>
          <w:tcPr>
            <w:tcW w:type="dxa" w:w="311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列入复核清单</w:t>
            </w:r>
          </w:p>
        </w:tc>
      </w:tr>
      <w:tr>
        <w:tc>
          <w:tcPr>
            <w:tcW w:type="dxa" w:w="1417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failed</w:t>
            </w:r>
          </w:p>
        </w:tc>
        <w:tc>
          <w:tcPr>
            <w:tcW w:type="dxa" w:w="4535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超过3次重试或响应无法解析</w:t>
            </w:r>
          </w:p>
        </w:tc>
        <w:tc>
          <w:tcPr>
            <w:tcW w:type="dxa" w:w="3118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保留原因和原始状态码，人工决定是否重试</w:t>
            </w:r>
          </w:p>
        </w:tc>
      </w:tr>
    </w:tbl>
    <w:p>
      <w:pPr>
        <w:spacing w:after="40"/>
      </w:pPr>
    </w:p>
    <w:p>
      <w:pPr>
        <w:pStyle w:val="Heading1"/>
      </w:pPr>
      <w:r>
        <w:t>测试与证据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color w:val="1F2937"/>
          <w:sz w:val="21"/>
        </w:rPr>
        <w:t>测试分页终止条件、重复页、空列表、详情缺字段、调度触发、单实例锁、超时、429、5xx、第三次失败、恢复点和重复运行。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color w:val="1F2937"/>
          <w:sz w:val="21"/>
        </w:rPr>
        <w:t>反向验证一次429：保留测试失败或重试日志；还原模拟响应后保存全绿输出。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color w:val="1F2937"/>
          <w:sz w:val="21"/>
        </w:rPr>
        <w:t>敏感扫描覆盖.env、cookie、session、password、authorization和常见密钥前缀。命中后先判断并脱敏。</w:t>
      </w:r>
    </w:p>
    <w:p>
      <w:pPr>
        <w:pStyle w:val="ListBullet"/>
        <w:spacing w:after="60"/>
      </w:pPr>
      <w:r>
        <w:rPr>
          <w:rFonts w:ascii="Arial" w:hAnsi="Arial" w:eastAsia="Microsoft YaHei"/>
          <w:b w:val="0"/>
          <w:color w:val="1F2937"/>
          <w:sz w:val="21"/>
        </w:rPr>
        <w:t>把小型脱敏日志和JSON放到evidence/week1/A，录屏或大型文件链接先登记到角色PROGRESS或PR清单，由C回填验收台账。</w:t>
      </w:r>
    </w:p>
    <w:p>
      <w:pPr>
        <w:pStyle w:val="Heading1"/>
      </w:pPr>
      <w:r>
        <w:t>交接给 B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1.  在Draft PR中写明5篇样本commit、Schema校验命令、受控原图交接位置和每篇内容类型；最晚17日18:00发出，18:00至22:00留给B/C接收校验。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2.  B拉取该commit后，应在4小时内确认5个bundle可读、素材哈希相符。A只处理采集与格式问题，不改B的识别代码。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3.  若原始海报不能进入公共仓库，A提供受控共享位置和SHA-256。B的金标准只提交匿名字段和证据摘要。</w:t>
      </w:r>
    </w:p>
    <w:p>
      <w:pPr>
        <w:pStyle w:val="Heading1"/>
      </w:pPr>
      <w:r>
        <w:t>交接给 C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1.  C先导入固定5篇，再导入100篇状态台账。A提供notice_id唯一性检查结果和两次运行前后数量。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2.  C若发现Schema不合，应在A的PR列出字段路径和错误。双方不得通过删除字段绕过校验。</w:t>
      </w:r>
    </w:p>
    <w:p>
      <w:pPr>
        <w:spacing w:after="80"/>
        <w:ind w:left="312" w:hanging="255"/>
      </w:pPr>
      <w:r>
        <w:rPr>
          <w:rFonts w:ascii="Arial" w:hAnsi="Arial" w:eastAsia="Microsoft YaHei"/>
          <w:b w:val="0"/>
          <w:color w:val="1F2937"/>
          <w:sz w:val="21"/>
        </w:rPr>
        <w:t>3.  C合并后，A在最新main上重跑采集测试，确认接口适配没有失效。</w:t>
      </w:r>
    </w:p>
    <w:p>
      <w:pPr>
        <w:pStyle w:val="Heading1"/>
      </w:pPr>
      <w:r>
        <w:t>Git 提交安排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061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建议提交</w:t>
            </w:r>
          </w:p>
        </w:tc>
        <w:tc>
          <w:tcPr>
            <w:tcW w:type="dxa" w:w="4082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1928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推送时点</w:t>
            </w:r>
          </w:p>
        </w:tc>
      </w:tr>
      <w:tr>
        <w:tc>
          <w:tcPr>
            <w:tcW w:type="dxa" w:w="306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feat(sync): add CAS assisted portal session</w:t>
            </w:r>
          </w:p>
        </w:tc>
        <w:tc>
          <w:tcPr>
            <w:tcW w:type="dxa" w:w="408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人工登录和内存会话</w:t>
            </w:r>
          </w:p>
        </w:tc>
        <w:tc>
          <w:tcPr>
            <w:tcW w:type="dxa" w:w="19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17日白天</w:t>
            </w:r>
          </w:p>
        </w:tc>
      </w:tr>
      <w:tr>
        <w:tc>
          <w:tcPr>
            <w:tcW w:type="dxa" w:w="306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feat(sync): add article bundle fetch</w:t>
            </w:r>
          </w:p>
        </w:tc>
        <w:tc>
          <w:tcPr>
            <w:tcW w:type="dxa" w:w="408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列表、详情和5篇输出</w:t>
            </w:r>
          </w:p>
        </w:tc>
        <w:tc>
          <w:tcPr>
            <w:tcW w:type="dxa" w:w="1928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17日18:00前</w:t>
            </w:r>
          </w:p>
        </w:tc>
      </w:tr>
      <w:tr>
        <w:tc>
          <w:tcPr>
            <w:tcW w:type="dxa" w:w="306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feat(sync): add resumable article ledger</w:t>
            </w:r>
          </w:p>
        </w:tc>
        <w:tc>
          <w:tcPr>
            <w:tcW w:type="dxa" w:w="408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状态、恢复和幂等</w:t>
            </w:r>
          </w:p>
        </w:tc>
        <w:tc>
          <w:tcPr>
            <w:tcW w:type="dxa" w:w="19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18日22:00前</w:t>
            </w:r>
          </w:p>
        </w:tc>
      </w:tr>
      <w:tr>
        <w:tc>
          <w:tcPr>
            <w:tcW w:type="dxa" w:w="3061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feat(sync): add scheduler and sync service</w:t>
            </w:r>
          </w:p>
        </w:tc>
        <w:tc>
          <w:tcPr>
            <w:tcW w:type="dxa" w:w="4082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周期配置、单实例锁和任务状态</w:t>
            </w:r>
          </w:p>
        </w:tc>
        <w:tc>
          <w:tcPr>
            <w:tcW w:type="dxa" w:w="1928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19日白天</w:t>
            </w:r>
          </w:p>
        </w:tc>
      </w:tr>
      <w:tr>
        <w:tc>
          <w:tcPr>
            <w:tcW w:type="dxa" w:w="306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test(sync): cover retry resume and dedupe</w:t>
            </w:r>
          </w:p>
        </w:tc>
        <w:tc>
          <w:tcPr>
            <w:tcW w:type="dxa" w:w="408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自动化测试和反向验证</w:t>
            </w:r>
          </w:p>
        </w:tc>
        <w:tc>
          <w:tcPr>
            <w:tcW w:type="dxa" w:w="192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Microsoft YaHei"/>
                <w:b w:val="0"/>
                <w:color w:val="1F2937"/>
                <w:sz w:val="17"/>
              </w:rPr>
              <w:t>19日18:00前</w:t>
            </w:r>
          </w:p>
        </w:tc>
      </w:tr>
    </w:tbl>
    <w:p>
      <w:pPr>
        <w:spacing w:after="40"/>
      </w:pPr>
    </w:p>
    <w:p>
      <w:pPr>
        <w:pStyle w:val="Heading1"/>
      </w:pPr>
      <w:r>
        <w:t>最终自查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5篇固定样本全部通过Schema。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真实目标清单中每篇都有明确状态；没有静默遗漏。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初次请求外最多重试3次，请求开始时间差符合0.8至1.5秒，日志口径明确。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中断后能继续，重复运行文章数不增加。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Scheduler能触发SyncService，单实例锁、任务状态和会话失效暂停均有测试。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仓库中没有Cookie、账号、原始个人海报、绝对路径或未脱敏响应。</w:t>
      </w:r>
    </w:p>
    <w:p>
      <w:pPr>
        <w:spacing w:after="60"/>
        <w:ind w:left="170" w:hanging="170"/>
      </w:pPr>
      <w:r>
        <w:rPr>
          <w:rFonts w:ascii="Arial" w:hAnsi="Arial" w:eastAsia="Microsoft YaHei"/>
          <w:b w:val="0"/>
          <w:color w:val="1F2937"/>
          <w:sz w:val="21"/>
        </w:rPr>
        <w:t>□  PR、commit、测试输出、红到绿证据和交接确认均已写入角色PROGRESS或PR清单，并通知C回填验收台账。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color w:val="6B7280"/>
        <w:sz w:val="1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Microsoft YaHe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角色 A 采集与更新任务书</dc:title>
  <dc:subject>2026年9月第一周协作执行包</dc:subject>
  <dc:creator>选调信息智能检索系统项目组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