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角色B：抽取质量与评测闭环任务书</w:t>
      </w:r>
    </w:p>
    <w:p>
      <w:pPr>
        <w:jc w:val="center"/>
      </w:pPr>
      <w:r>
        <w:t>第二周执行周期：2026年9月21日—9月27日 23:59；9月26日18:00进入P0冻结</w:t>
      </w:r>
    </w:p>
    <w:p>
      <w:pPr>
        <w:pStyle w:val="Heading1"/>
      </w:pPr>
      <w:r>
        <w:t>一、目录白名单</w:t>
      </w:r>
    </w:p>
    <w:p>
      <w:r>
        <w:t>从 C 基线建立 feat/week2-B-quality，只提交 app/extraction/**、tests/extraction/**、data/gold/**、reports/extraction/**、progress/week1/B/**、evidence/week1/B/**。根配置、C 领域/仓储/搜索/前端和文档必须人工审查。</w:t>
      </w:r>
    </w:p>
    <w:p>
      <w:pPr>
        <w:pStyle w:val="Heading1"/>
      </w:pPr>
      <w:r>
        <w:t>二、日程与交付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D9EAF7"/>
          </w:tcPr>
          <w:p>
            <w:r>
              <w:t>日期</w:t>
            </w:r>
          </w:p>
        </w:tc>
        <w:tc>
          <w:tcPr>
            <w:tcW w:type="dxa" w:w="3312"/>
            <w:shd w:fill="D9EAF7"/>
          </w:tcPr>
          <w:p>
            <w:r>
              <w:t>工作</w:t>
            </w:r>
          </w:p>
        </w:tc>
        <w:tc>
          <w:tcPr>
            <w:tcW w:type="dxa" w:w="3312"/>
            <w:shd w:fill="D9EAF7"/>
          </w:tcPr>
          <w:p>
            <w:r>
              <w:t>交付/验收</w:t>
            </w:r>
          </w:p>
        </w:tc>
      </w:tr>
      <w:tr>
        <w:tc>
          <w:tcPr>
            <w:tcW w:type="dxa" w:w="3312"/>
          </w:tcPr>
          <w:p>
            <w:r>
              <w:t>9/21</w:t>
            </w:r>
          </w:p>
        </w:tc>
        <w:tc>
          <w:tcPr>
            <w:tcW w:type="dxa" w:w="3312"/>
          </w:tcPr>
          <w:p>
            <w:r>
              <w:t>定向迁移并列出允许目录</w:t>
            </w:r>
          </w:p>
        </w:tc>
        <w:tc>
          <w:tcPr>
            <w:tcW w:type="dxa" w:w="3312"/>
          </w:tcPr>
          <w:p>
            <w:r>
              <w:t>白名单清单与 PR</w:t>
            </w:r>
          </w:p>
        </w:tc>
      </w:tr>
      <w:tr>
        <w:tc>
          <w:tcPr>
            <w:tcW w:type="dxa" w:w="3312"/>
          </w:tcPr>
          <w:p>
            <w:r>
              <w:t>9/22</w:t>
            </w:r>
          </w:p>
        </w:tc>
        <w:tc>
          <w:tcPr>
            <w:tcW w:type="dxa" w:w="3312"/>
          </w:tcPr>
          <w:p>
            <w:r>
              <w:t>固定5篇 bundle/evidence pack 导入 C SQLite 烟测</w:t>
            </w:r>
          </w:p>
        </w:tc>
        <w:tc>
          <w:tcPr>
            <w:tcW w:type="dxa" w:w="3312"/>
          </w:tcPr>
          <w:p>
            <w:r>
              <w:t>Schema、行数、重复幂等日志</w:t>
            </w:r>
          </w:p>
        </w:tc>
      </w:tr>
      <w:tr>
        <w:tc>
          <w:tcPr>
            <w:tcW w:type="dxa" w:w="3312"/>
          </w:tcPr>
          <w:p>
            <w:r>
              <w:t>9/23</w:t>
            </w:r>
          </w:p>
        </w:tc>
        <w:tc>
          <w:tcPr>
            <w:tcW w:type="dxa" w:w="3312"/>
          </w:tcPr>
          <w:p>
            <w:r>
              <w:t>专业/城市/岗位通用规则修正</w:t>
            </w:r>
          </w:p>
        </w:tc>
        <w:tc>
          <w:tcPr>
            <w:tcW w:type="dxa" w:w="3312"/>
          </w:tcPr>
          <w:p>
            <w:r>
              <w:t>规则 diff 与回归测试</w:t>
            </w:r>
          </w:p>
        </w:tc>
      </w:tr>
      <w:tr>
        <w:tc>
          <w:tcPr>
            <w:tcW w:type="dxa" w:w="3312"/>
          </w:tcPr>
          <w:p>
            <w:r>
              <w:t>9/24</w:t>
            </w:r>
          </w:p>
        </w:tc>
        <w:tc>
          <w:tcPr>
            <w:tcW w:type="dxa" w:w="3312"/>
          </w:tcPr>
          <w:p>
            <w:r>
              <w:t>同一20样本、SHA-256、gold 重新评测</w:t>
            </w:r>
          </w:p>
        </w:tc>
        <w:tc>
          <w:tcPr>
            <w:tcW w:type="dxa" w:w="3312"/>
          </w:tcPr>
          <w:p>
            <w:r>
              <w:t>evaluation_report_v2.json/CSV</w:t>
            </w:r>
          </w:p>
        </w:tc>
      </w:tr>
      <w:tr>
        <w:tc>
          <w:tcPr>
            <w:tcW w:type="dxa" w:w="3312"/>
          </w:tcPr>
          <w:p>
            <w:r>
              <w:t>9/25-26</w:t>
            </w:r>
          </w:p>
        </w:tc>
        <w:tc>
          <w:tcPr>
            <w:tcW w:type="dxa" w:w="3312"/>
          </w:tcPr>
          <w:p>
            <w:r>
              <w:t>复核队列、授权、保留策略与游客素材检查</w:t>
            </w:r>
          </w:p>
        </w:tc>
        <w:tc>
          <w:tcPr>
            <w:tcW w:type="dxa" w:w="3312"/>
          </w:tcPr>
          <w:p>
            <w:r>
              <w:t>review_required 清单与脱敏检查</w:t>
            </w:r>
          </w:p>
        </w:tc>
      </w:tr>
      <w:tr>
        <w:tc>
          <w:tcPr>
            <w:tcW w:type="dxa" w:w="3312"/>
          </w:tcPr>
          <w:p>
            <w:r>
              <w:t>9/27</w:t>
            </w:r>
          </w:p>
        </w:tc>
        <w:tc>
          <w:tcPr>
            <w:tcW w:type="dxa" w:w="3312"/>
          </w:tcPr>
          <w:p>
            <w:r>
              <w:t>演示讲解评测口径</w:t>
            </w:r>
          </w:p>
        </w:tc>
        <w:tc>
          <w:tcPr>
            <w:tcW w:type="dxa" w:w="3312"/>
          </w:tcPr>
          <w:p>
            <w:r>
              <w:t>归一化结果与不启用多模态结论</w:t>
            </w:r>
          </w:p>
        </w:tc>
      </w:tr>
    </w:tbl>
    <w:p>
      <w:pPr>
        <w:pStyle w:val="Heading1"/>
      </w:pPr>
      <w:r>
        <w:t>三、统一验收口径</w:t>
      </w:r>
    </w:p>
    <w:p>
      <w:r>
        <w:t>本周验收只把归一化口径作为主判定：五字段逐项记录分子、分母、归一化准确率和低于90%的样本；缺失、冲突、低置信度进入 review_required。原始逐样本结果与严格口径文件不得删除，作为可追溯附件。不得改变20样本集合、SHA-256、gold 或多模态启用门槛。</w:t>
      </w:r>
    </w:p>
    <w:p>
      <w:pPr>
        <w:pStyle w:val="Heading1"/>
      </w:pPr>
      <w:r>
        <w:t>四、交接给C</w:t>
      </w:r>
    </w:p>
    <w:p>
      <w:pPr>
        <w:pStyle w:val="ListBullet"/>
      </w:pPr>
      <w:r>
        <w:t>固定5篇 bundle 和 evidence pack 可被导入器接收，重复导入不增加记录。</w:t>
      </w:r>
    </w:p>
    <w:p>
      <w:pPr>
        <w:pStyle w:val="ListBullet"/>
      </w:pPr>
      <w:r>
        <w:t>给出报告、成本、模型、授权与保留策略，以及复核队列。</w:t>
      </w:r>
    </w:p>
    <w:p>
      <w:pPr>
        <w:pStyle w:val="ListBullet"/>
      </w:pPr>
      <w:r>
        <w:t>游客服只能拿派生图或安全占位图，不能原图下发后再靠 CSS 遮挡。</w:t>
      </w:r>
    </w:p>
    <w:p>
      <w:pPr>
        <w:pStyle w:val="ListBullet"/>
      </w:pPr>
      <w:r>
        <w:t>提交 feat(extraction): integrate bundles and evidence packs on week2 base、test(extraction): rerun fixed gold evaluation without sample changes、docs(extraction): record normalized quality gate。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