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 — Phần R: trả lời D3-01 đến D3-20</w:t>
      </w:r>
    </w:p>
    <w:p>
      <w:pPr>
        <w:spacing w:after="80"/>
      </w:pPr>
      <w:r>
        <w:t xml:space="preserve">Ngày: 2026-10-03 17:30  </w:t>
      </w:r>
    </w:p>
    <w:p>
      <w:pPr>
        <w:spacing w:after="80"/>
      </w:pPr>
      <w:r>
        <w:t xml:space="preserve">Phạm vi: Phần R của ASK01 — 20 câu D3-01…D3-20.  </w:t>
      </w:r>
    </w:p>
    <w:p>
      <w:pPr>
        <w:spacing w:after="80"/>
      </w:pPr>
      <w:r>
        <w:t>Quy ước: “Không tìm thấy nguồn” không đồng nghĩa “đã chứng minh không tồn tại”; các số benchmark chưa có trong bối cảnh được ghi CẦN ĐO.</w:t>
      </w:r>
    </w:p>
    <w:p>
      <w:pPr>
        <w:spacing w:after="80"/>
      </w:pPr>
      <w:r>
        <w:t>---</w:t>
      </w:r>
    </w:p>
    <w:p>
      <w:pPr>
        <w:pStyle w:val="Heading1"/>
      </w:pPr>
      <w:r>
        <w:t>D3-01 — License của net Fairy/Xiangqi trước 2026</w:t>
      </w:r>
    </w:p>
    <w:p>
      <w:pPr>
        <w:spacing w:after="80"/>
      </w:pPr>
      <w:r>
        <w:t>Kết luận: với bằng chứng ASK01 hiện có, chỉ C07E94A5… có căn cứ CC0 rõ. Không nên gán GPL từ PKGBUILD AUR cho 8–13 file net do người khác train. Trường license=('GPL-3.0-or-later') thường mô tả package/metadata của gói, không tự cấp license cho weight artifact có tác giả khác.</w:t>
      </w:r>
    </w:p>
    <w:p>
      <w:pPr>
        <w:spacing w:after="80"/>
      </w:pPr>
      <w:r>
        <w:t>Để ship thương mại, hồ sơ tối thiểu cần: tên tác giả/đơn vị cấp phép; URL/commit hoặc văn bản ký; tên file; SHA256; phạm vi quyền (copy, modify, redistribute, commercial); attribution/notice; ngày và revision. Nếu không có văn bản công khai cho 8 net cũ, trạng thái đúng là UNKNOWN — không ship, không suy đoán “trọng số không có bản quyền”. Owner nên hỏi từng tác giả qua issue/email/Discord và lưu câu trả lời cùng hash.</w:t>
      </w:r>
    </w:p>
    <w:p>
      <w:pPr>
        <w:spacing w:after="80"/>
      </w:pPr>
      <w:r>
        <w:t>Nguồn nền: https://fairy-stockfish.github.io/nnue/ và repo license/README của artifact cụ thể; không dùng trang 2026+ để hồi tố cho net cũ.</w:t>
      </w:r>
    </w:p>
    <w:p>
      <w:pPr>
        <w:pStyle w:val="Heading1"/>
      </w:pPr>
      <w:r>
        <w:t>D3-02 — Nhận dạng nguồn của data.db</w:t>
      </w:r>
    </w:p>
    <w:p>
      <w:pPr>
        <w:spacing w:after="80"/>
      </w:pPr>
      <w:r>
        <w:t>Schema, sentinel ±32000, timestamp hay bảng bhobk chỉ là fingerprint, không chứng minh công cụ sinh. Không có metadata nguồn thì không thể kết luận là BHGui, 兵河, XQMS hay chessdb.cn chỉ từ phân bố cột.</w:t>
      </w:r>
    </w:p>
    <w:p>
      <w:pPr>
        <w:spacing w:after="80"/>
      </w:pPr>
      <w:r>
        <w:t>Phương án rescore mẫu bằng nhiều engine có ích cho phân tích tương đồng, nhưng không phục hồi provenance: nhiều engine có thể trùng score/scale, và score search thay đổi theo depth/net/options. Đội đã chọn đúng khi chỉ lấy FEN/nước hợp lệ, bỏ điểm và cho thầy CC0 chấm lại. Giữ source=UNKNOWN, hash file, row count, schema, import date; không ghi tên engine đoán vào training provenance.</w:t>
      </w:r>
    </w:p>
    <w:p>
      <w:pPr>
        <w:pStyle w:val="Heading1"/>
      </w:pPr>
      <w:r>
        <w:t>D3-03 — Policy label từ nhiều nước</w:t>
      </w:r>
    </w:p>
    <w:p>
      <w:pPr>
        <w:spacing w:after="80"/>
      </w:pPr>
      <w:r>
        <w:t>Nếu mục tiêu là NNUE value-only, bỏ policy label là hợp lý; argmax của nhiều score không thêm trực tiếp vào value net. Nếu làm head policy riêng, dùng soft target sẽ giữ thông tin gần tốt:</w:t>
      </w:r>
    </w:p>
    <w:p>
      <w:pPr>
        <w:pStyle w:val="NoSpacing"/>
      </w:pPr>
      <w:r>
        <w:rPr>
          <w:rFonts w:ascii="Consolas" w:hAnsi="Consolas"/>
          <w:sz w:val="17"/>
        </w:rPr>
        <w:t>p_i = softmax((s_i - max(s)) / T)</w:t>
      </w:r>
    </w:p>
    <w:p>
      <w:pPr>
        <w:spacing w:after="80"/>
      </w:pPr>
      <w:r>
        <w:t>Bắt đầu sweep T ∈ {50,100,200} cp trên calibration set; loại nước invalid/duplicate; ghi teacher depth và score scale. Không nhận các score ±32000 như cp thường; mate cần sentinel/target riêng. Có thể giữ argmax làm nhãn cứng baseline, nhưng chỉ chọn biên ≥50 cp nếu muốn giảm label noise. Nếu chưa có policy inference/search head, chỉ lưu FEN/value và không mở rộng scope.</w:t>
      </w:r>
    </w:p>
    <w:p>
      <w:pPr>
        <w:pStyle w:val="Heading1"/>
      </w:pPr>
      <w:r>
        <w:t>D3-04 — Cỡ lô mồi và TT giữa các thế</w:t>
      </w:r>
    </w:p>
    <w:p>
      <w:pPr>
        <w:spacing w:after="80"/>
      </w:pPr>
      <w:r>
        <w:t>Với nhãn độc lập, gửi ucinewgame/clear TT giữa các FEN hoặc bảo đảm engine API reset đầy đủ. Giữ TT ấm làm label phụ thuộc thứ tự/chia mảnh; chỉ dùng khi chủ ý mô phỏng search stream và ghi shard/order/TT policy vào provenance.</w:t>
      </w:r>
    </w:p>
    <w:p>
      <w:pPr>
        <w:spacing w:after="80"/>
      </w:pPr>
      <w:r>
        <w:t>Lô 10.300 thế là pilot, chưa đủ kết luận sức mạnh. Đề xuất: 100k để kiểm pipeline/scale, 1M để so loss/calibration, 10M+ mới mở A/B engine nghiêm túc; đây là mốc thiết kế, không phải chuẩn công bố. Giữ 100k nodes nếu calibration cho thấy sai WDL/nước thấp hơn 5k/20k; benchmark trên 1.000 vị trí đã giải chính xác trước.</w:t>
      </w:r>
    </w:p>
    <w:p>
      <w:pPr>
        <w:spacing w:after="80"/>
      </w:pPr>
      <w:r>
        <w:t>A=A: cùng FEN, cùng seed, hai run phải hash giống nhau. Đối chứng dương: giảm nodes ×4 phải làm score/bestmove thay đổi theo mức đã đặt. Với tàn cuộc, đo WDL accuracy, DTM/DTC rank và exact move rate; không chỉ loss.</w:t>
      </w:r>
    </w:p>
    <w:p>
      <w:pPr>
        <w:pStyle w:val="Heading1"/>
      </w:pPr>
      <w:r>
        <w:t>D3-05 — A/B engine tất định</w:t>
      </w:r>
    </w:p>
    <w:p>
      <w:pPr>
        <w:spacing w:after="80"/>
      </w:pPr>
      <w:r>
        <w:t>A=A với engine tất định không ước lượng variance: cùng thế và màu cho ra cùng ván. Vì vậy không dùng “nhiều lần lặp cùng opening” để làm n lớn giả. Cần:</w:t>
      </w:r>
    </w:p>
    <w:p>
      <w:pPr>
        <w:pStyle w:val="ListBullet"/>
      </w:pPr>
      <w:r>
        <w:t>tăng số **opening positions độc lập** và cân bằng màu;</w:t>
      </w:r>
    </w:p>
    <w:p>
      <w:pPr>
        <w:pStyle w:val="ListBullet"/>
      </w:pPr>
      <w:r>
        <w:t>chia test theo family/lineage để biết tương quan;</w:t>
      </w:r>
    </w:p>
    <w:p>
      <w:pPr>
        <w:pStyle w:val="ListBullet"/>
      </w:pPr>
      <w:r>
        <w:t>dùng paired games đổi màu;</w:t>
      </w:r>
    </w:p>
    <w:p>
      <w:pPr>
        <w:pStyle w:val="ListBullet"/>
      </w:pPr>
      <w:r>
        <w:t>nếu muốn SPRT/pentanomial theo fishtest, phải có randomness thật (jitter nodes/time hoặc engine stochastic) và khai báo nó.</w:t>
      </w:r>
    </w:p>
    <w:p>
      <w:pPr>
        <w:spacing w:after="80"/>
      </w:pPr>
      <w:r>
        <w:t>Jitter nhỏ làm test khác “fixed nodes” và có thể thay search budget; nên có hai track: fixed deterministic để regression, jittered/stochastic để strength. 35–70 opening positions là harness pilot; chênh 20–50 Elo cần hàng trăm đến hàng nghìn game tùy draw rate và noise. Không tuyên bố KTC95 hẹp từ 12 ván cùng 10 thế.</w:t>
      </w:r>
    </w:p>
    <w:p>
      <w:pPr>
        <w:pStyle w:val="Heading1"/>
      </w:pPr>
      <w:r>
        <w:t>D3-06 — .plain, binpack và score trong ván</w:t>
      </w:r>
    </w:p>
    <w:p>
      <w:pPr>
        <w:spacing w:after="80"/>
      </w:pPr>
      <w:r>
        <w:t>.plain nên là intermediate audit format: FEN canonical, side, move, score, ply, result, source, teacher options. Trainer upstream thường cần format binary/binpack/loader riêng; không nên giả định variant-nnue-pytorch và pikafish-nnue-pytorch đọc cùng một .plain Xiangqi nếu chưa mở đúng loader/commit.</w:t>
      </w:r>
    </w:p>
    <w:p>
      <w:pPr>
        <w:spacing w:after="80"/>
      </w:pPr>
      <w:r>
        <w:t>Score trong ván có search budget thay đổi theo clock là nhãn nhiễu và có selection bias (nước/thế khó được search khác). Dùng được cho self-play/auxiliary data nếu ghi depth/nodes/time, nhưng đường chính nên re-score FEN bằng teacher fixed nodes/depth và serialize theo trainer đích. Giữ .plain làm audit rồi chuyển binpack một lần; validate count/hash trước train.</w:t>
      </w:r>
    </w:p>
    <w:p>
      <w:pPr>
        <w:pStyle w:val="Heading1"/>
      </w:pPr>
      <w:r>
        <w:t>D3-07 — px0data ODbL và net bán thương mại</w:t>
      </w:r>
    </w:p>
    <w:p>
      <w:pPr>
        <w:spacing w:after="80"/>
      </w:pPr>
      <w:r>
        <w:t>ODbL phân biệt Database, Derivative Database và Produced Work; việc biến dữ liệu thành model weights có thể được lập luận là Produced Work, nhưng ranh giới phụ thuộc cách weight còn chứa/cho phép tái tạo database và điều khoản/luật áp dụng. Không có án lệ/ý kiến ODC chung đủ để owner tự tuyên bố “bán an toàn”.</w:t>
      </w:r>
    </w:p>
    <w:p>
      <w:pPr>
        <w:spacing w:after="80"/>
      </w:pPr>
      <w:r>
        <w:t>Quyết định bảo thủ của đội là đúng: không trộn px0data vào net ship. Nếu dùng nội bộ, giữ provenance và notice ODbL; nếu phân phối output, cần rà ODbL 1.0, attribution, access/share-alike obligations và tư vấn pháp lý. Không ghi --giay-phep CC0 cho nguồn ODbL.</w:t>
      </w:r>
    </w:p>
    <w:p>
      <w:pPr>
        <w:spacing w:after="80"/>
      </w:pPr>
      <w:r>
        <w:t>Nguồn: https://opendatacommons.org/licenses/odbl/1-0/ . Đây là đánh giá kỹ thuật/pháp lý sơ bộ, không phải ý kiến luật sư.</w:t>
      </w:r>
    </w:p>
    <w:p>
      <w:pPr>
        <w:pStyle w:val="Heading1"/>
      </w:pPr>
      <w:r>
        <w:t>D3-08 — setoption khi search đang chạy</w:t>
      </w:r>
    </w:p>
    <w:p>
      <w:pPr>
        <w:spacing w:after="80"/>
      </w:pPr>
      <w:r>
        <w:t>GUI UCI/UCCI nên gửi option khi engine idle, nhưng engine production vẫn phải xử lý an toàn nếu nhận sai thời điểm. stopAndJoin() trước khi sửa config/book/option mà search đọc là thiết kế đúng; chấp nhận stop và trả bestmove hợp lệ, sau đó GUI phải gửi go lại nếu muốn tiếp tục.</w:t>
      </w:r>
    </w:p>
    <w:p>
      <w:pPr>
        <w:spacing w:after="80"/>
      </w:pPr>
      <w:r>
        <w:t>Không ghi heap string hoặc đóng SQLite book trong lúc worker còn đọc. Dùng immutable snapshot config per-search tốt hơn khóa hàng chục điểm đọc. Option lạ nên trả info string/ignore theo protocol, không crash.</w:t>
      </w:r>
    </w:p>
    <w:p>
      <w:pPr>
        <w:spacing w:after="80"/>
      </w:pPr>
      <w:r>
        <w:t>Cần kiểm engine upstream đúng revision trước khi nói tên hàm cụ thể; không bịa rằng mọi GUI hiểu “bestmove sau setoption” giống nhau. Harness phải test Arena/cutechess/BHGui/SharkChess với log UCI/UCCI.</w:t>
      </w:r>
    </w:p>
    <w:p>
      <w:pPr>
        <w:pStyle w:val="Heading1"/>
      </w:pPr>
      <w:r>
        <w:t>D3-09 — Hash không lũy thừa 2 và go mate N</w:t>
      </w:r>
    </w:p>
    <w:p>
      <w:pPr>
        <w:spacing w:after="80"/>
      </w:pPr>
      <w:r>
        <w:t>Làm tròn Hash xuống mức thực cấp phát được, báo readback requested/actual, và cấp phát fail-safe là lựa chọn tốt; tuyệt đối không để new chết process khi thiếu commit. Hash không power-of-two có thể dùng index nhân/mulhi, nhưng làm đổi bench/TT mapping; nếu ưu tiên reproducible bench, round-down mask là chấp nhận được.</w:t>
      </w:r>
    </w:p>
    <w:p>
      <w:pPr>
        <w:spacing w:after="80"/>
      </w:pPr>
      <w:r>
        <w:t>Sau stop của go mate N chưa tìm thấy mate, engine phải trả nước hợp lệ tốt nhất đã có; “nước hợp lệ đầu tiên” là fallback an toàn nhưng yếu hơn một best-so-far search. Không được trả mate giả hoặc output không phải UCI/UCCI legal move. Ghi rõ mate search interrupted/no forced mate để GUI không hiểu là kết quả mate.</w:t>
      </w:r>
    </w:p>
    <w:p>
      <w:pPr>
        <w:pStyle w:val="Heading1"/>
      </w:pPr>
      <w:r>
        <w:t>D3-10 — File.Replace lỗi 1175</w:t>
      </w:r>
    </w:p>
    <w:p>
      <w:pPr>
        <w:spacing w:after="80"/>
      </w:pPr>
      <w:r>
        <w:t>Mẫu đo cho thấy lỗi tương quan với file nằm trong cây repo, phù hợp giả thuyết Defender/Search/IDE/Drive watcher giữ handle ngắn hạn; chưa chứng minh process cụ thể. Dùng Process Monitor filter:</w:t>
      </w:r>
    </w:p>
    <w:p>
      <w:pPr>
        <w:pStyle w:val="ListBullet"/>
      </w:pPr>
      <w:r>
        <w:t>Path contains target/temp;</w:t>
      </w:r>
    </w:p>
    <w:p>
      <w:pPr>
        <w:pStyle w:val="ListBullet"/>
      </w:pPr>
      <w:r>
        <w:t>Operation `CreateFile`, `SetRenameInformationFile`, `CloseFile`;</w:t>
      </w:r>
    </w:p>
    <w:p>
      <w:pPr>
        <w:pStyle w:val="ListBullet"/>
      </w:pPr>
      <w:r>
        <w:t>Result `SHARING VIOLATION`/`ACCESS DENIED`/1175;</w:t>
      </w:r>
    </w:p>
    <w:p>
      <w:pPr>
        <w:pStyle w:val="ListBullet"/>
      </w:pPr>
      <w:r>
        <w:t>Include stack/process name.</w:t>
      </w:r>
    </w:p>
    <w:p>
      <w:pPr>
        <w:spacing w:after="80"/>
      </w:pPr>
      <w:r>
        <w:t>Retry có trần 6 lần 10→160 ms và sau đó throw là hợp lý cho lỗi transient; không retry vô hạn. Ghi temp ngoài repo chỉ là mitigation, không bảo đảm atomic durability. Trên NTFS, File.Replace/rename cần handle mở với share-delete phù hợp; MOVEFILEWRITETHROUGH giúp flush nhưng không vượt handle lock. Test power-loss thực cần journaling/backup, không chỉ 4.000 lần xanh.</w:t>
      </w:r>
    </w:p>
    <w:p>
      <w:pPr>
        <w:pStyle w:val="Heading1"/>
      </w:pPr>
      <w:r>
        <w:t>D3-11 — llama.cpp và Windows commit</w:t>
      </w:r>
    </w:p>
    <w:p>
      <w:pPr>
        <w:spacing w:after="80"/>
      </w:pPr>
      <w:r>
        <w:t>File-backed read-only mmap/section khác private committed heap: trang file có thể vào working set/system cache nhưng không nên cộng đơn giản bằng kích thước GGUF vào private commit. --no-mmap, mlock, KV cache, scratch buffers, graph/workspace và backend allocations có thể làm footprint/commit tăng; UMA GPU share physical RAM và WDDM budget, trong khi OS commit vẫn là một constraint riêng.</w:t>
      </w:r>
    </w:p>
    <w:p>
      <w:pPr>
        <w:spacing w:after="80"/>
      </w:pPr>
      <w:r>
        <w:t>Công thức app nên là budget bảo thủ:</w:t>
      </w:r>
    </w:p>
    <w:p>
      <w:pPr>
        <w:pStyle w:val="NoSpacing"/>
      </w:pPr>
      <w:r>
        <w:rPr>
          <w:rFonts w:ascii="Consolas" w:hAnsi="Consolas"/>
          <w:sz w:val="17"/>
        </w:rPr>
        <w:t>reserve = model_loaded + KV(n_ctx, layers, kv_type) + scratch/backend + OS_headroom</w:t>
      </w:r>
    </w:p>
    <w:p>
      <w:pPr>
        <w:spacing w:after="80"/>
      </w:pPr>
      <w:r>
        <w:t>Đo CommitTotal/Limit, Private Bytes, Working Set, DXGI budget/current, HIP/Vulkan allocator trước/sau load và sau nctx sweep. Trần 75% commit của đội là gate an toàn, nhưng phải log lý do reject. Không có công thức universal chỉ từ file size/nctx vì backend/quant/context batch thay đổi.</w:t>
      </w:r>
    </w:p>
    <w:p>
      <w:pPr>
        <w:pStyle w:val="Heading1"/>
      </w:pPr>
      <w:r>
        <w:t>D3-12 — F5-TTS/ViVoice và thương mại</w:t>
      </w:r>
    </w:p>
    <w:p>
      <w:pPr>
        <w:spacing w:after="80"/>
      </w:pPr>
      <w:r>
        <w:t>hynt/F5-TTS-Vietnamese-ViVoice đang có license CC-BY-NC-SA-4.0 theo bối cảnh đội: không dùng thương mại nếu chưa có permission riêng. Việc app cho người dùng tự tải model không tự xóa rủi ro nếu app phân phối, tích hợp, quảng cáo hoặc điều khiển model đó; cần tách rõ download link, acceptance, không bundle và rà ToS/license.</w:t>
      </w:r>
    </w:p>
    <w:p>
      <w:pPr>
        <w:spacing w:after="80"/>
      </w:pPr>
      <w:r>
        <w:t>Các model/code TTS có license permissive không đồng nghĩa dataset/voice weights có cùng license. Mỗi candidate phải kiểm riêng model card, weights, vocoder, speaker reference/data và commercial clause. Không ghi MOS/WER nếu model card không công bố đúng tiếng Việt/cấu hình.</w:t>
      </w:r>
    </w:p>
    <w:p>
      <w:pPr>
        <w:spacing w:after="80"/>
      </w:pPr>
      <w:r>
        <w:t>Về pipeline: giới hạn mẫu 10–30s và đoạn ≤12s chỉ dùng khi khớp model card/version; không chuẩn hóa số/viết tắt có thể làm pronunciation sai. Cần smoke test f5tts/vocoder thật trước khi đánh dấu “supported”.</w:t>
      </w:r>
    </w:p>
    <w:p>
      <w:pPr>
        <w:pStyle w:val="Heading1"/>
      </w:pPr>
      <w:r>
        <w:t>D3-13 — Demucs, rò giọng và VAD</w:t>
      </w:r>
    </w:p>
    <w:p>
      <w:pPr>
        <w:spacing w:after="80"/>
      </w:pPr>
      <w:r>
        <w:t>htdemucs --two-stems vocals là baseline hợp lý, nhưng không có một model “tốt nhất” cho mọi nhạc + hiệu ứng. So sánh htdemucs, htdemucsft, MDX/UVR trên bộ owner có ground truth; đo SI-SDR/SDR cho vocal/residual và WER của ASR trên nền còn lại. Hệ số chiếu 0,3 là heuristic, phải calibrate trên set có nhãn.</w:t>
      </w:r>
    </w:p>
    <w:p>
      <w:pPr>
        <w:spacing w:after="80"/>
      </w:pPr>
      <w:r>
        <w:t>Whisper/whisper.cpp VAD/silence segmentation có thể thay silencedetect, nhưng phải giữ timestamp mapping, padding và overlap; test cut ở phụ âm/nhạc nền. Quyết định dùng segment 15–60s + hard cap khi không có silence là an toàn hơn một đoạn 120s làm runner thất bại.</w:t>
      </w:r>
    </w:p>
    <w:p>
      <w:pPr>
        <w:pStyle w:val="Heading1"/>
      </w:pPr>
      <w:r>
        <w:t>D3-14 — F0/diarization/xưng hô</w:t>
      </w:r>
    </w:p>
    <w:p>
      <w:pPr>
        <w:spacing w:after="80"/>
      </w:pPr>
      <w:r>
        <w:t>Ngưỡng 165/180 Hz là heuristic, không phải ranh giới sinh học universal; F0 thay đổi theo trẻ em/người già, cảm xúc, ngôn ngữ và mic. Khoảng mơ hồ nên trả “unknown/neutral” như đội đã chọn, không ép nữ/nam.</w:t>
      </w:r>
    </w:p>
    <w:p>
      <w:pPr>
        <w:spacing w:after="80"/>
      </w:pPr>
      <w:r>
        <w:t>Nếu cần speaker tracking: diarization trước, speaker embedding/cluster sau, và tùy chọn người dùng override. Model offline ONNX phải kiểm license/model card và benchmark trên tiếng Việt/Á Đông của owner; không dùng LLM đoán giới từ nội dung làm nhãn mặc định. Chỉ chọn voice/xưng hô khi confidence + user policy cho phép.</w:t>
      </w:r>
    </w:p>
    <w:p>
      <w:pPr>
        <w:pStyle w:val="Heading1"/>
      </w:pPr>
      <w:r>
        <w:t>D3-15 — Karaoke dịch, OCR và xóa subtitle</w:t>
      </w:r>
    </w:p>
    <w:p>
      <w:pPr>
        <w:spacing w:after="80"/>
      </w:pPr>
      <w:r>
        <w:t>Không có audio của câu dịch thì karaoke theo tỷ lệ ký tự là ước lượng, không phải forced alignment. Fansub thường dùng timing câu gốc rồi phân bổ theo từ/ký tự; muốn chính xác phải chạy TTS/voiceover và forced-align chính audio đó. Ghi cờ timingestimated=true.</w:t>
      </w:r>
    </w:p>
    <w:p>
      <w:pPr>
        <w:spacing w:after="80"/>
      </w:pPr>
      <w:r>
        <w:t>OCR Windows có thể dùng cho detector nếu đã benchmark chữ Trung/skin; không có con số lỗi chung để so với PaddleOCR. Bộ test cần CER/precision box theo font, nền và độ che. Hộp đặc dễ đảm bảo không còn chữ nhưng ảnh xấu; inpaint video có artifact và license/chi phí khác. Chỉ tẩy sub khi owner có quyền xử lý video.</w:t>
      </w:r>
    </w:p>
    <w:p>
      <w:pPr>
        <w:pStyle w:val="Heading1"/>
      </w:pPr>
      <w:r>
        <w:t>D3-16 — SDXL-Lightning/AnimateDiff-Lightning</w:t>
      </w:r>
    </w:p>
    <w:p>
      <w:pPr>
        <w:spacing w:after="80"/>
      </w:pPr>
      <w:r>
        <w:t>Với SDXL-Lightning, cấu hình phổ biến trong model card là sampler Euler, scheduler sgmuniform, CFG 1.0 và số bước đúng checkpoint 1/2/4 (hoặc số step ghi trong tên). Không áp cấu hình này cho FLUX hay mọi LoRA. AnimateDiff-Lightning có model/card và workflow riêng; phải đọc đúng checkpoint/LoRA revision, không tự suy từ SDXL-Lightning.</w:t>
      </w:r>
    </w:p>
    <w:p>
      <w:pPr>
        <w:spacing w:after="80"/>
      </w:pPr>
      <w:r>
        <w:t>Template cần parse Nstep, model family và loader type; nếu không xác định thì cảnh báo, không silently ép 4 bước. Acceptance: render fixture 1/2/4/8 steps, kiểm CFG/scheduler node JSON và so output không cháy. Nguồn cần pin theo model card Hugging Face cụ thể của checkpoint đang cài.</w:t>
      </w:r>
    </w:p>
    <w:p>
      <w:pPr>
        <w:pStyle w:val="Heading1"/>
      </w:pPr>
      <w:r>
        <w:t>D3-17 — Upload API và WebView2</w:t>
      </w:r>
    </w:p>
    <w:p>
      <w:pPr>
        <w:spacing w:after="80"/>
      </w:pPr>
      <w:r>
        <w:t>Ưu tiên API chính thức. YouTube Data API videos.insert có quota cost được nêu trong quota docs và mặc định project quota có giới hạn/ngày; token OAuth scope upload và channel policy phải kiểm tại thời điểm chạy. TikTok Content Posting API có điều kiện app/audit/capability; chưa audit thì không coi API đã dùng được. Facebook Graph cần Page/video permissions và token đúng loại.</w:t>
      </w:r>
    </w:p>
    <w:p>
      <w:pPr>
        <w:spacing w:after="80"/>
      </w:pPr>
      <w:r>
        <w:t>WebView2 automation sau đăng nhập có rủi ro ToS, bot detection và khóa account; dừng khi human check. Không lưu mật khẩu; cookie tạm phải bảo vệ/xóa. Idempotency: lưu platform, account/channel, local hash, scheduled slot, upload ID/status; retry không tạo post trùng. Không khẳng định Douyin/Kuaishou có API public cho mọi tài khoản ngoài Trung Quốc nếu chưa có developer approval.</w:t>
      </w:r>
    </w:p>
    <w:p>
      <w:pPr>
        <w:pStyle w:val="Heading1"/>
      </w:pPr>
      <w:r>
        <w:t>D3-18 — JJ象棋 AUTO</w:t>
      </w:r>
    </w:p>
    <w:p>
      <w:pPr>
        <w:spacing w:after="80"/>
      </w:pPr>
      <w:r>
        <w:t>Không bẻ mã hóa UnityFS/DRM và không lấy asset không được phép. Nếu không có guest/viewer public đã xác minh, trạng thái là không biết; owner tự đăng nhập và tự chụp fixture là đường sạch hơn. Generic board detector có thể dùng dataset/repo có license rõ, nhưng phải kiểm Xiangqi 9×10, 3D/skin và accuracy; không lấy ảnh JJ vào sản phẩm nếu chưa xử lý quyền.</w:t>
      </w:r>
    </w:p>
    <w:p>
      <w:pPr>
        <w:spacing w:after="80"/>
      </w:pPr>
      <w:r>
        <w:t>Self-teach lần đầu: user chọn 4 góc/2 xe, app lưu geometry/template/skin fingerprint cục bộ; ảnh train chỉ dùng nội bộ theo consent/ToS, retention ngắn và có nút xóa. Validate legal board + confidence; fail closed khi skin/scale đổi.</w:t>
      </w:r>
    </w:p>
    <w:p>
      <w:pPr>
        <w:pStyle w:val="Heading1"/>
      </w:pPr>
      <w:r>
        <w:t>D3-19 — GPLv3 Demo + GUI đóng nguồn</w:t>
      </w:r>
    </w:p>
    <w:p>
      <w:pPr>
        <w:spacing w:after="80"/>
      </w:pPr>
      <w:r>
        <w:t>Đổi tên docco.exe không làm mất GPL, nhưng README phải nói rõ engine là bản sửa đổi/đóng gói, giữ copyright/license/notice. SOURCEGPL.zip cần có Corresponding Source đúng commit: source sửa đổi, build scripts/CMake/config cần để tạo binary tương ứng; không nhất thiết phân phối mọi compiler/toolchain proprietary nếu GPL §1/§6 không yêu cầu, nhưng phải ghi prerequisite và build command.</w:t>
      </w:r>
    </w:p>
    <w:p>
      <w:pPr>
        <w:spacing w:after="80"/>
      </w:pPr>
      <w:r>
        <w:t>GUI đóng nguồn và engine chạy tiến trình riêng có thể là aggregate, nhưng ranh giới phụ thuộc cách liên kết/giao tiếp; nên để process/executable riêng, không link proprietary code vào GPL object. Xóa net CC0 khi trial hết hạn không tự là hạn chế GPL đối với engine, nhưng không dùng license gate để ngăn quyền chạy/sửa/redistribute engine GPL. Gói nên kèm source/notice ở mọi bản phát hành.</w:t>
      </w:r>
    </w:p>
    <w:p>
      <w:pPr>
        <w:pStyle w:val="Heading1"/>
      </w:pPr>
      <w:r>
        <w:t>D3-20 — Meeting AI WebView2 hết session</w:t>
      </w:r>
    </w:p>
    <w:p>
      <w:pPr>
        <w:spacing w:after="80"/>
      </w:pPr>
      <w:r>
        <w:t>Không bịa selector/URL cố định cho AI ngoài: mỗi nhà cung cấp/UI có thể thay đổi. Thiết kế đúng là detector nhiều tín hiệu: URL host/path login, password input visible, known aria-label/text mẫu theo profile, HTTP/navigation state và timeout; các selector phải nằm trong profile versioned và self-test.</w:t>
      </w:r>
    </w:p>
    <w:p>
      <w:pPr>
        <w:spacing w:after="80"/>
      </w:pPr>
      <w:r>
        <w:t>Nếu owner đăng nhập lại, app không giả định draft còn nguyên. Lưu questionid, payload hash, provider, turn state, last received block và idempotency key. Chỉ resend khi đã xác định request chưa có câu trả lời/commit; nếu đã có partial output thì resume/mark manual, không gửi trùng. Human check/session expiry chuyển trạng thái WAITINGFOROWNER, timeout 30 phút rồi EXPIRED, không gọi là lỗi.</w:t>
      </w:r>
    </w:p>
    <w:p>
      <w:pPr>
        <w:spacing w:after="80"/>
      </w:pPr>
      <w:r>
        <w:t>---</w:t>
      </w:r>
    </w:p>
    <w:p>
      <w:pPr>
        <w:pStyle w:val="Heading1"/>
      </w:pPr>
      <w:r>
        <w:t>Ma trận hành động sau Phần R</w:t>
      </w:r>
    </w:p>
    <w:tbl>
      <w:tblPr>
        <w:tblStyle w:val="TableGrid"/>
        <w:tblW w:type="auto" w:w="0"/>
        <w:tblLook w:firstColumn="1" w:firstRow="1" w:lastColumn="0" w:lastRow="0" w:noHBand="0" w:noVBand="1" w:val="04A0"/>
      </w:tblPr>
      <w:tblGrid>
        <w:gridCol w:w="4968"/>
        <w:gridCol w:w="4968"/>
      </w:tblGrid>
      <w:tr>
        <w:tc>
          <w:tcPr>
            <w:tcW w:type="dxa" w:w="4968"/>
          </w:tcPr>
          <w:p>
            <w:r>
              <w:rPr>
                <w:b/>
                <w:sz w:val="17"/>
              </w:rPr>
              <w:t>Mã</w:t>
            </w:r>
          </w:p>
        </w:tc>
        <w:tc>
          <w:tcPr>
            <w:tcW w:type="dxa" w:w="4968"/>
          </w:tcPr>
          <w:p>
            <w:r>
              <w:rPr>
                <w:b/>
                <w:sz w:val="17"/>
              </w:rPr>
              <w:t>Quyết định</w:t>
            </w:r>
          </w:p>
        </w:tc>
      </w:tr>
      <w:tr>
        <w:tc>
          <w:tcPr>
            <w:tcW w:type="dxa" w:w="4968"/>
          </w:tcPr>
          <w:p>
            <w:r>
              <w:rPr>
                <w:sz w:val="17"/>
              </w:rPr>
              <w:t>D3-01, D3-07, D3-12, D3-17, D3-18, D3-19</w:t>
            </w:r>
          </w:p>
        </w:tc>
        <w:tc>
          <w:tcPr>
            <w:tcW w:type="dxa" w:w="4968"/>
          </w:tcPr>
          <w:p>
            <w:r>
              <w:rPr>
                <w:sz w:val="17"/>
              </w:rPr>
              <w:t>Khóa ship cho tới khi license/ToS/source được xác minh</w:t>
            </w:r>
          </w:p>
        </w:tc>
      </w:tr>
      <w:tr>
        <w:tc>
          <w:tcPr>
            <w:tcW w:type="dxa" w:w="4968"/>
          </w:tcPr>
          <w:p>
            <w:r>
              <w:rPr>
                <w:sz w:val="17"/>
              </w:rPr>
              <w:t>D3-02, D3-04, D3-05, D3-06</w:t>
            </w:r>
          </w:p>
        </w:tc>
        <w:tc>
          <w:tcPr>
            <w:tcW w:type="dxa" w:w="4968"/>
          </w:tcPr>
          <w:p>
            <w:r>
              <w:rPr>
                <w:sz w:val="17"/>
              </w:rPr>
              <w:t>Giữ provenance, reset/re-score và benchmark độc lập</w:t>
            </w:r>
          </w:p>
        </w:tc>
      </w:tr>
      <w:tr>
        <w:tc>
          <w:tcPr>
            <w:tcW w:type="dxa" w:w="4968"/>
          </w:tcPr>
          <w:p>
            <w:r>
              <w:rPr>
                <w:sz w:val="17"/>
              </w:rPr>
              <w:t>D3-08, D3-09, D3-10, D3-11, D3-20</w:t>
            </w:r>
          </w:p>
        </w:tc>
        <w:tc>
          <w:tcPr>
            <w:tcW w:type="dxa" w:w="4968"/>
          </w:tcPr>
          <w:p>
            <w:r>
              <w:rPr>
                <w:sz w:val="17"/>
              </w:rPr>
              <w:t>Fail-closed, stop/join, idempotency và memory/handle gates</w:t>
            </w:r>
          </w:p>
        </w:tc>
      </w:tr>
      <w:tr>
        <w:tc>
          <w:tcPr>
            <w:tcW w:type="dxa" w:w="4968"/>
          </w:tcPr>
          <w:p>
            <w:r>
              <w:rPr>
                <w:sz w:val="17"/>
              </w:rPr>
              <w:t>D3-03, D3-13, D3-14, D3-15, D3-16</w:t>
            </w:r>
          </w:p>
        </w:tc>
        <w:tc>
          <w:tcPr>
            <w:tcW w:type="dxa" w:w="4968"/>
          </w:tcPr>
          <w:p>
            <w:r>
              <w:rPr>
                <w:sz w:val="17"/>
              </w:rPr>
              <w:t>Giữ baseline nhưng thêm calibration/fixture/self-test</w:t>
            </w:r>
          </w:p>
        </w:tc>
      </w:tr>
    </w:tbl>
    <w:p>
      <w:pPr>
        <w:pStyle w:val="Heading1"/>
      </w:pPr>
      <w:r>
        <w:t>Nguồn chính</w:t>
      </w:r>
    </w:p>
    <w:p>
      <w:pPr>
        <w:pStyle w:val="ListBullet"/>
      </w:pPr>
      <w:r>
        <w:t>GPLv3: https://www.gnu.org/licenses/gpl-3.0.html</w:t>
      </w:r>
    </w:p>
    <w:p>
      <w:pPr>
        <w:pStyle w:val="ListBullet"/>
      </w:pPr>
      <w:r>
        <w:t>GPL FAQ: https://www.gnu.org/licenses/gpl-faq.html</w:t>
      </w:r>
    </w:p>
    <w:p>
      <w:pPr>
        <w:pStyle w:val="ListBullet"/>
      </w:pPr>
      <w:r>
        <w:t>ODbL 1.0: https://opendatacommons.org/licenses/odbl/1-0/</w:t>
      </w:r>
    </w:p>
    <w:p>
      <w:pPr>
        <w:pStyle w:val="ListBullet"/>
      </w:pPr>
      <w:r>
        <w:t>Stockfish NNUE docs: https://official-stockfish.github.io/docs/nnue-pytorch-wiki/docs/nnue.html</w:t>
      </w:r>
    </w:p>
    <w:p>
      <w:pPr>
        <w:pStyle w:val="ListBullet"/>
      </w:pPr>
      <w:r>
        <w:t>NNUE trainer: https://github.com/official-stockfish/nnue-pytorch</w:t>
      </w:r>
    </w:p>
    <w:p>
      <w:pPr>
        <w:pStyle w:val="ListBullet"/>
      </w:pPr>
      <w:r>
        <w:t>Fairy variant NNUE tools: https://github.com/fairy-stockfish/variant-nnue-tools</w:t>
      </w:r>
    </w:p>
    <w:p>
      <w:pPr>
        <w:pStyle w:val="ListBullet"/>
      </w:pPr>
      <w:r>
        <w:t>Microsoft File.Replace: https://learn.microsoft.com/en-us/dotnet/api/system.io.file.replace</w:t>
      </w:r>
    </w:p>
    <w:p>
      <w:pPr>
        <w:pStyle w:val="ListBullet"/>
      </w:pPr>
      <w:r>
        <w:t>Microsoft DXGI memory: https://learn.microsoft.com/en-us/windows/win32/api/dxgi1_4/nf-dxgi1_4-idxgiadapter3-queryvideomemoryinfo</w:t>
      </w:r>
    </w:p>
    <w:p>
      <w:pPr>
        <w:pStyle w:val="ListBullet"/>
      </w:pPr>
      <w:r>
        <w:t>YouTube Data API quota: https://developers.google.com/youtube/v3/determine_quota_cost</w:t>
      </w:r>
    </w:p>
    <w:p>
      <w:pPr>
        <w:pStyle w:val="ListBullet"/>
      </w:pPr>
      <w:r>
        <w:t>YouTube upload: https://developers.google.com/youtube/v3/guides/uploading_a_video</w:t>
      </w:r>
    </w:p>
    <w:p>
      <w:pPr>
        <w:pStyle w:val="ListBullet"/>
      </w:pPr>
      <w:r>
        <w:t>rclone Drive: https://rclone.org/drive/</w:t>
      </w:r>
    </w:p>
    <w:p>
      <w:pPr>
        <w:pStyle w:val="ListBullet"/>
      </w:pPr>
      <w:r>
        <w:t>F5-TTS: https://github.com/SWivid/F5-TTS</w:t>
      </w:r>
    </w:p>
    <w:p>
      <w:pPr>
        <w:pStyle w:val="ListBullet"/>
      </w:pPr>
      <w:r>
        <w:t>Demucs: https://github.com/facebookresearch/demucs</w:t>
      </w:r>
    </w:p>
    <w:p>
      <w:pPr>
        <w:pStyle w:val="ListBullet"/>
      </w:pPr>
      <w:r>
        <w:t>SDXL-Lightning: https://huggingface.co/ByteDance/SDXL-Lightning</w:t>
      </w:r>
    </w:p>
    <w:p>
      <w:pPr>
        <w:pStyle w:val="ListBullet"/>
      </w:pPr>
      <w:r>
        <w:t>AnimateDiff-Lightning: https://huggingface.co/ByteDance/AnimateDiff-Lightning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Manus — DebateAI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