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Manus — trả lời ASK01 Phần P và Q</w:t>
      </w:r>
    </w:p>
    <w:p>
      <w:pPr>
        <w:spacing w:after="80"/>
      </w:pPr>
      <w:r>
        <w:t xml:space="preserve">Ngày: 2026-10-03 16:00  </w:t>
      </w:r>
    </w:p>
    <w:p>
      <w:pPr>
        <w:spacing w:after="80"/>
      </w:pPr>
      <w:r>
        <w:t xml:space="preserve">Phạm vi: P-01…P-03; T34-01…02; W456-01…04; T36-01…03; T13-01…03.  </w:t>
      </w:r>
    </w:p>
    <w:p>
      <w:pPr>
        <w:spacing w:after="80"/>
      </w:pPr>
      <w:r>
        <w:t>Nguyên tắc: số đo owner được dùng làm bối cảnh; phần chưa có benchmark công khai được đánh dấu CẦN ĐO, không biến thành số chắc chắn.</w:t>
      </w:r>
    </w:p>
    <w:p>
      <w:pPr>
        <w:spacing w:after="80"/>
      </w:pPr>
      <w:r>
        <w:t>---</w:t>
      </w:r>
    </w:p>
    <w:p>
      <w:pPr>
        <w:pStyle w:val="Title"/>
      </w:pPr>
      <w:r>
        <w:t>PHẦN P — Engine Trương Vô Kỵ</w:t>
      </w:r>
    </w:p>
    <w:p>
      <w:pPr>
        <w:pStyle w:val="Heading1"/>
      </w:pPr>
      <w:r>
        <w:t>P-01 — Chọn lõi</w:t>
      </w:r>
    </w:p>
    <w:p>
      <w:pPr>
        <w:spacing w:after="80"/>
      </w:pPr>
      <w:r>
        <w:t>Khuyến nghị mặc định: Fairy-Stockfish/variant-capable core, nếu license và cách phân phối phù hợp. Lý do: có alpha-beta/search, variant rules, UCI/UCCI và đường NNUE/data-generator công khai; net yếu vẫn cần search hợp lệ để đo regression. Lõi riêng chỉ nên chọn khi owner chấp nhận chi phí port movegen/feature/serializer/test.</w:t>
      </w:r>
    </w:p>
    <w:p>
      <w:pPr>
        <w:spacing w:after="80"/>
      </w:pPr>
      <w:r>
        <w:t>Fairy variant-nnue-tools là một nguồn thực hành có mã tạo data dựa trên Fairy-Stockfish và liên kết trainer variant; Pikafish README xác nhận engine UCI Xiangqi và pipeline test nhưng không công khai một công thức “random net → Pikafish strength theo số ván/thế”. Px0/Leela-style training là ví dụ neural self-play khác kiến trúc, không dùng để hứa mốc Elo cho NNUE.</w:t>
      </w:r>
    </w:p>
    <w:p>
      <w:pPr>
        <w:spacing w:after="80"/>
      </w:pPr>
      <w:r>
        <w:t>Gate chọn lõi:</w:t>
      </w:r>
    </w:p>
    <w:p>
      <w:pPr>
        <w:pStyle w:val="ListBullet"/>
      </w:pPr>
      <w:r>
        <w:t>random net vẫn search legal và không crash;</w:t>
      </w:r>
    </w:p>
    <w:p>
      <w:pPr>
        <w:pStyle w:val="ListBullet"/>
      </w:pPr>
      <w:r>
        <w:t>feature encoder + serializer có test;</w:t>
      </w:r>
    </w:p>
    <w:p>
      <w:pPr>
        <w:pStyle w:val="ListBullet"/>
      </w:pPr>
      <w:r>
        <w:t>engine bench/checksum ổn định;</w:t>
      </w:r>
    </w:p>
    <w:p>
      <w:pPr>
        <w:pStyle w:val="ListBullet"/>
      </w:pPr>
      <w:r>
        <w:t>trainer chạy ít nhất 1 checkpoint;</w:t>
      </w:r>
    </w:p>
    <w:p>
      <w:pPr>
        <w:pStyle w:val="ListBullet"/>
      </w:pPr>
      <w:r>
        <w:t>EGTB hook có test tắt/bật;</w:t>
      </w:r>
    </w:p>
    <w:p>
      <w:pPr>
        <w:pStyle w:val="ListBullet"/>
      </w:pPr>
      <w:r>
        <w:t>A/B 100–500 ván pilot trước khi nói Elo.</w:t>
      </w:r>
    </w:p>
    <w:p>
      <w:pPr>
        <w:pStyle w:val="Heading1"/>
      </w:pPr>
      <w:r>
        <w:t>P-02 — Net random làm Bodetosu chậm 27×</w:t>
      </w:r>
    </w:p>
    <w:p>
      <w:pPr>
        <w:spacing w:after="80"/>
      </w:pPr>
      <w:r>
        <w:t>Giả thuyết ưu tiên: eval random làm score/ordering kém ổn định, aspiration fail và pruning dựa trên eval kém hiệu quả; nhưng không được kết luận “futility/LMR” là nguyên nhân duy nhất.</w:t>
      </w:r>
    </w:p>
    <w:p>
      <w:pPr>
        <w:spacing w:after="80"/>
      </w:pPr>
      <w:r>
        <w:t>Đo cùng FEN/seed/time/nodes với net thật, random net và handcrafted fallback:</w:t>
      </w:r>
    </w:p>
    <w:p>
      <w:pPr>
        <w:pStyle w:val="ListBullet"/>
      </w:pPr>
      <w:r>
        <w:t>nodes/s, qnodes/s, depth/seldepth;</w:t>
      </w:r>
    </w:p>
    <w:p>
      <w:pPr>
        <w:pStyle w:val="ListBullet"/>
      </w:pPr>
      <w:r>
        <w:t>aspiration fail/re-search;</w:t>
      </w:r>
    </w:p>
    <w:p>
      <w:pPr>
        <w:pStyle w:val="ListBullet"/>
      </w:pPr>
      <w:r>
        <w:t>TT hit, cutoff, null-move/futility/razoring/LMR counts;</w:t>
      </w:r>
    </w:p>
    <w:p>
      <w:pPr>
        <w:pStyle w:val="ListBullet"/>
      </w:pPr>
      <w:r>
        <w:t>move-order rank của best move;</w:t>
      </w:r>
    </w:p>
    <w:p>
      <w:pPr>
        <w:pStyle w:val="ListBullet"/>
      </w:pPr>
      <w:r>
        <w:t>phân bố `|eval|`, score delta giữa parent/child;</w:t>
      </w:r>
    </w:p>
    <w:p>
      <w:pPr>
        <w:pStyle w:val="ListBullet"/>
      </w:pPr>
      <w:r>
        <w:t>branching factor theo ply;</w:t>
      </w:r>
    </w:p>
    <w:p>
      <w:pPr>
        <w:pStyle w:val="ListBullet"/>
      </w:pPr>
      <w:r>
        <w:t>cache/accumulator update time.</w:t>
      </w:r>
    </w:p>
    <w:p>
      <w:pPr>
        <w:spacing w:after="80"/>
      </w:pPr>
      <w:r>
        <w:t>Nếu random net làm cutoff giảm, re-search tăng và branching tăng, giả thuyết pruning có bằng chứng. Nếu nps giảm nhưng counters không đổi, kiểm accumulator/cache/serialization. Không nên kẹp output chỉ để tăng nps nếu làm sai semantics; có thể dùng warm-start/handcrafted fallback trong giai đoạn train-from-zero, nhưng phải ghi đó là engine mode khác.</w:t>
      </w:r>
    </w:p>
    <w:p>
      <w:pPr>
        <w:pStyle w:val="Heading1"/>
      </w:pPr>
      <w:r>
        <w:t>P-03 — Nối EGTB lúc đánh và lúc train</w:t>
      </w:r>
    </w:p>
    <w:p>
      <w:pPr>
        <w:spacing w:after="80"/>
      </w:pPr>
      <w:r>
        <w:t>Lúc đánh: probe ở root và trong search tại các nút đủ ít quân, nhưng giới hạn cost/cache và phải gắn repetition/counter semantics. Root-only là đường MVP; full-search probe chỉ bật sau benchmark overhead.</w:t>
      </w:r>
    </w:p>
    <w:p>
      <w:pPr>
        <w:spacing w:after="80"/>
      </w:pPr>
      <w:r>
        <w:t>Lúc train: tạo stream egtbwdl riêng cho thế ≤N quân, split theo position lineage, rồi trộn với regular data bằng sample weight/schedule. Không lấy DTM/DTC làm WDL cứng nếu chưa mô hình hóa luật 80-ply/counter. Ghi tbprovider, version, men count, side, rule set và exact WDL/DTM/DTC.</w:t>
      </w:r>
    </w:p>
    <w:p>
      <w:pPr>
        <w:spacing w:after="80"/>
      </w:pPr>
      <w:r>
        <w:t>Ca đỏ: tắt EGTB phải làm egtbcount=0 và fail/skip policy rõ; thiếu provider/version không được giả WDL. Test fixture gồm known win/loss/draw, counter sát ngưỡng và provider unavailable.</w:t>
      </w:r>
    </w:p>
    <w:p>
      <w:pPr>
        <w:spacing w:after="80"/>
      </w:pPr>
      <w:r>
        <w:t>---</w:t>
      </w:r>
    </w:p>
    <w:p>
      <w:pPr>
        <w:pStyle w:val="Title"/>
      </w:pPr>
      <w:r>
        <w:t>T34 — SinhGame</w:t>
      </w:r>
    </w:p>
    <w:p>
      <w:pPr>
        <w:pStyle w:val="Heading1"/>
      </w:pPr>
      <w:r>
        <w:t>T34-01 — PV dọc mọi depth</w:t>
      </w:r>
    </w:p>
    <w:p>
      <w:pPr>
        <w:spacing w:after="80"/>
      </w:pPr>
      <w:r>
        <w:t>Với số đo 80% thế có remainingdepth=0–5, không dùng nhãn gốc PV trực tiếp. Khuyến nghị:</w:t>
      </w:r>
    </w:p>
    <w:p>
      <w:pPr>
        <w:pStyle w:val="ListNumber"/>
      </w:pPr>
      <w:r>
        <w:t>giữ FEN làm queue `datanoscore`;</w:t>
      </w:r>
    </w:p>
    <w:p>
      <w:pPr>
        <w:pStyle w:val="ListNumber"/>
      </w:pPr>
      <w:r>
        <w:t>re-label bằng search độc lập fixed nodes/time;</w:t>
      </w:r>
    </w:p>
    <w:p>
      <w:pPr>
        <w:pStyle w:val="ListNumber"/>
      </w:pPr>
      <w:r>
        <w:t>ghi root depth, pv depth, pv ply, remaining depth và game lineage;</w:t>
      </w:r>
    </w:p>
    <w:p>
      <w:pPr>
        <w:pStyle w:val="ListNumber"/>
      </w:pPr>
      <w:r>
        <w:t>bucket `0–5`, `6–11`, `≥12`.</w:t>
      </w:r>
    </w:p>
    <w:p>
      <w:pPr>
        <w:spacing w:after="80"/>
      </w:pPr>
      <w:r>
        <w:t>Pilot đặt trước: bucket 0–5 chỉ làm FEN queue; 6–11 weight 0,25; ≥12 weight 0,5–1,0; so với baseline không PV. Nếu independent label/engine A/B không tốt, bỏ bucket. PV harvest tạo tương quan mạnh và score tại root không phải label của mọi node.</w:t>
      </w:r>
    </w:p>
    <w:p>
      <w:pPr>
        <w:pStyle w:val="Heading1"/>
      </w:pPr>
      <w:r>
        <w:t>T34-02 — SMT</w:t>
      </w:r>
    </w:p>
    <w:p>
      <w:pPr>
        <w:spacing w:after="80"/>
      </w:pPr>
      <w:r>
        <w:t>Không có phần trăm “chuẩn ngành” đáng tin cho Xiangqi NNUE 1-thread: phụ thuộc TT/LLC/memory bandwidth/feature size/OS. Số đo đội đã cho thấy thêm process làm tổng công giảm, nên không bật logic “32 threads luôn nhanh hơn 16”.</w:t>
      </w:r>
    </w:p>
    <w:p>
      <w:pPr>
        <w:spacing w:after="80"/>
      </w:pPr>
      <w:r>
        <w:t>Chạy N=12,16,24,32, mỗi cấu hình ≥20s, cùng FEN/seed/hash/priority; log per-PID nps, tổng nps, CPU cycles/instructions, LLC misses, memory bandwidth, RSS và nhiệt/throttle. Chọn N theo tổng nps hoặc positions/hour, không theo CPU utilization. Cấu hình 16 physical là baseline; SMT chỉ nhận nếu total nps tăng và không vượt headroom/latency threshold.</w:t>
      </w:r>
    </w:p>
    <w:p>
      <w:pPr>
        <w:spacing w:after="80"/>
      </w:pPr>
      <w:r>
        <w:t>---</w:t>
      </w:r>
    </w:p>
    <w:p>
      <w:pPr>
        <w:pStyle w:val="Title"/>
      </w:pPr>
      <w:r>
        <w:t>W456</w:t>
      </w:r>
    </w:p>
    <w:p>
      <w:pPr>
        <w:pStyle w:val="Heading1"/>
      </w:pPr>
      <w:r>
        <w:t>W456-01 — DTM/DTC và luật 80 ply</w:t>
      </w:r>
    </w:p>
    <w:p>
      <w:pPr>
        <w:spacing w:after="80"/>
      </w:pPr>
      <w:r>
        <w:t>DTC ≤ remain có thể là điều kiện đủ trong một mô hình rất cụ thể nếu DTC được định nghĩa chính xác là số ply đến lần capture/reset counter trên optimal legal continuation và tablebase state bao gồm bên đi/counter/rule. Nó không phải điều kiện đủ chung nếu bảng không biết đường lựa chọn, bên nào capture, hoặc các nhánh có promotion/zugzwang/repetition.</w:t>
      </w:r>
    </w:p>
    <w:p>
      <w:pPr>
        <w:spacing w:after="80"/>
      </w:pPr>
      <w:r>
        <w:t>DTC &gt; remain không suy ra hòa: capture có thể xảy ra trước hạn ở một continuation khác hoặc search có thể chọn ăn quân để reset. Số đo 13/20 thắng là phản ví dụ trực tiếp cho việc trả hòa cứng.</w:t>
      </w:r>
    </w:p>
    <w:p>
      <w:pPr>
        <w:spacing w:after="80"/>
      </w:pPr>
      <w:r>
        <w:t>Cách an toàn: retrograde/state expansion thêm (position, side, halfmove counter/rule state), hoặc dùng provider tablebase có cursed-win/blessed-loss semantics. Với ≤4 quân, ước kích thước phải lấy từ generator/state count thực; không đoán bằng số position thuần. Nếu không thể sinh bảng theo counter, chỉ dùng DTC làm feature/soft label hoặc “uncertain”, không WDL cứng.</w:t>
      </w:r>
    </w:p>
    <w:p>
      <w:pPr>
        <w:pStyle w:val="Heading1"/>
      </w:pPr>
      <w:r>
        <w:t>W456-02 — Phát hiện học tàn cuộc quên trung cuộc</w:t>
      </w:r>
    </w:p>
    <w:p>
      <w:pPr>
        <w:spacing w:after="80"/>
      </w:pPr>
      <w:r>
        <w:t>Không có public số universal chứng minh một tỷ lệ EGTB:middlegame tối ưu cho NNUE Xiangqi. Ngoài validation loss, dùng:</w:t>
      </w:r>
    </w:p>
    <w:p>
      <w:pPr>
        <w:pStyle w:val="ListBullet"/>
      </w:pPr>
      <w:r>
        <w:t>EGTB WDL accuracy/Brier/calibration;</w:t>
      </w:r>
    </w:p>
    <w:p>
      <w:pPr>
        <w:pStyle w:val="ListBullet"/>
      </w:pPr>
      <w:r>
        <w:t>non-endgame holdout loss và rank correlation;</w:t>
      </w:r>
    </w:p>
    <w:p>
      <w:pPr>
        <w:pStyle w:val="ListBullet"/>
      </w:pPr>
      <w:r>
        <w:t>per-material/phase error;</w:t>
      </w:r>
    </w:p>
    <w:p>
      <w:pPr>
        <w:pStyle w:val="ListBullet"/>
      </w:pPr>
      <w:r>
        <w:t>engine A/B trên opening/middlegame/endgame books riêng;</w:t>
      </w:r>
    </w:p>
    <w:p>
      <w:pPr>
        <w:pStyle w:val="ListBullet"/>
      </w:pPr>
      <w:r>
        <w:t>output saturation và distribution shift;</w:t>
      </w:r>
    </w:p>
    <w:p>
      <w:pPr>
        <w:pStyle w:val="ListBullet"/>
      </w:pPr>
      <w:r>
        <w:t>agreement với teacher trên tactical set.</w:t>
      </w:r>
    </w:p>
    <w:p>
      <w:pPr>
        <w:spacing w:after="80"/>
      </w:pPr>
      <w:r>
        <w:t>Giữ 2–10% holdout mỗi nhóm là thiết kế hợp lý; bắt đầu train mix 0/2/5/10/20% EGTB cùng total exposures. Pass chỉ khi EGTB tăng mà middle/tactical A/B không giảm quá biên owner đặt trước. Valid loss đơn lẻ không đủ: evidence owner đã có net valid thấp nhưng A/B −338…−800 Elo.</w:t>
      </w:r>
    </w:p>
    <w:p>
      <w:pPr>
        <w:pStyle w:val="Heading1"/>
      </w:pPr>
      <w:r>
        <w:t>W456-03 — RAM/SQLite ~30 GB</w:t>
      </w:r>
    </w:p>
    <w:p>
      <w:pPr>
        <w:spacing w:after="80"/>
      </w:pPr>
      <w:r>
        <w:t>GlobalMemoryStatusEx phản ánh hệ thống, không phải working set app; standby/page cache và modified pages có thể làm các số nhìn khác nhau. Bộ canh nên đọc cùng lúc:</w:t>
      </w:r>
    </w:p>
    <w:p>
      <w:pPr>
        <w:pStyle w:val="ListBullet"/>
      </w:pPr>
      <w:r>
        <w:t>`GlobalMemoryStatusEx.ullAvailPhys`, `ullTotalPhys`;</w:t>
      </w:r>
    </w:p>
    <w:p>
      <w:pPr>
        <w:pStyle w:val="ListBullet"/>
      </w:pPr>
      <w:r>
        <w:t>Performance counter `\Memory\Available Bytes`, `\Memory\Committed Bytes`, `\Memory\Commit Limit`, `\Memory\Modified Page List Bytes`;</w:t>
      </w:r>
    </w:p>
    <w:p>
      <w:pPr>
        <w:pStyle w:val="ListBullet"/>
      </w:pPr>
      <w:r>
        <w:t>`\Memory\System Cache Resident Bytes`;</w:t>
      </w:r>
    </w:p>
    <w:p>
      <w:pPr>
        <w:pStyle w:val="ListBullet"/>
      </w:pPr>
      <w:r>
        <w:t>process Private Bytes/Commit Size/Working Set;</w:t>
      </w:r>
    </w:p>
    <w:p>
      <w:pPr>
        <w:pStyle w:val="ListBullet"/>
      </w:pPr>
      <w:r>
        <w:t>`\Process(*)\IO Data Bytes/sec` và file/cache size;</w:t>
      </w:r>
    </w:p>
    <w:p>
      <w:pPr>
        <w:pStyle w:val="ListBullet"/>
      </w:pPr>
      <w:r>
        <w:t>job commit + disk free.</w:t>
      </w:r>
    </w:p>
    <w:p>
      <w:pPr>
        <w:spacing w:after="80"/>
      </w:pPr>
      <w:r>
        <w:t>Gate không dừng chỉ vì dwMemoryLoad cao nếu Available/Commit headroom còn đủ; dừng khi Commit Charge / Commit Limit vượt ngưỡng, available bytes dưới ngưỡng trong cửa sổ liên tục, hoặc modified list/IO backlog tăng không hồi phục. Một run xác nhận cần log mỗi 1s trước/trong/sau SQLite write, bật/tắt journal/flush làm đối chứng; chụp ETW/Perfmon nếu nghi cache manager.</w:t>
      </w:r>
    </w:p>
    <w:p>
      <w:pPr>
        <w:pStyle w:val="Heading1"/>
      </w:pPr>
      <w:r>
        <w:t>W456-04 — ADB emulator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7"/>
              </w:rPr>
              <w:t>Emulator</w:t>
            </w:r>
          </w:p>
        </w:tc>
        <w:tc>
          <w:tcPr>
            <w:tcW w:type="dxa" w:w="3312"/>
          </w:tcPr>
          <w:p>
            <w:r>
              <w:rPr>
                <w:b/>
                <w:sz w:val="17"/>
              </w:rPr>
              <w:t>Bật mặc định/cổng</w:t>
            </w:r>
          </w:p>
        </w:tc>
        <w:tc>
          <w:tcPr>
            <w:tcW w:type="dxa" w:w="3312"/>
          </w:tcPr>
          <w:p>
            <w:r>
              <w:rPr>
                <w:b/>
                <w:sz w:val="17"/>
              </w:rPr>
              <w:t>Kết luận thực hành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LDPlayer 9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tài liệu LDPlayer nói mỗi instance có ADB debugging port; port phụ thuộc instance/config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bật trong Settings/Other/ADB theo bản; lấy port từ console/instance manager, không hard-code 5555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BlueStacks 5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có hướng dẫn chính thức “enable Android Debug Bridge”; port có thể thay đổi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bật ADB trong Settings/Advanced, lấy endpoint thực tế rồi `adb connect host:port`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MuMu Player 12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tài liệu Developer Essentials có ADB commands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bật USB/ADB debugging trong Developer/Settings, đọc port từ hướng dẫn/bản cài</w:t>
            </w:r>
          </w:p>
        </w:tc>
      </w:tr>
    </w:tbl>
    <w:p>
      <w:pPr>
        <w:spacing w:after="80"/>
      </w:pPr>
      <w:r>
        <w:t>Không có nguồn chính thức đủ ổn định để hứa latency “điển hình” cho mọi bản. Đo adb shell input tap round-trip và adb exec-out screencap -p p50/p95 trên 100 lần, tách device processing/transport/PNG decode. Cache connection, không spawn adb mỗi tap; timeout/retry và xác nhận frame sau tap.</w:t>
      </w:r>
    </w:p>
    <w:p>
      <w:pPr>
        <w:spacing w:after="80"/>
      </w:pPr>
      <w:r>
        <w:t>Nguồn: https://www.ldplayer.net/support/ldplayer-adb-command-usage-guide.html · https://support.bluestacks.com/hc/en-us/articles/23925869130381-How-to-enable-Android-Debug-Bridge-on-BlueStacks-5 · https://www.mumuplayer.com/help/win/developers-essentials-manual.html</w:t>
      </w:r>
    </w:p>
    <w:p>
      <w:pPr>
        <w:spacing w:after="80"/>
      </w:pPr>
      <w:r>
        <w:t>---</w:t>
      </w:r>
    </w:p>
    <w:p>
      <w:pPr>
        <w:pStyle w:val="Title"/>
      </w:pPr>
      <w:r>
        <w:t>T36</w:t>
      </w:r>
    </w:p>
    <w:p>
      <w:pPr>
        <w:pStyle w:val="Heading1"/>
      </w:pPr>
      <w:r>
        <w:t>T36-01 — BF16 autocast CPU và int16/int8</w:t>
      </w:r>
    </w:p>
    <w:p>
      <w:pPr>
        <w:spacing w:after="80"/>
      </w:pPr>
      <w:r>
        <w:t>BF16 autocast ở Linear không tự làm hỏng export int16/int8; FT vẫn fp32 theo số đo đội. Rủi ro nằm ở gradient/rounding/calibration và sự khác biệt forward train–inference. 30 bước loss lệch 0,021% là smoke test, chưa phải Elo evidence.</w:t>
      </w:r>
    </w:p>
    <w:p>
      <w:pPr>
        <w:spacing w:after="80"/>
      </w:pPr>
      <w:r>
        <w:t>Protocol: train FP32/BF16 cùng seed/steps; export cùng quant; compare float output, integer output, saturation rate, per-bucket error và A/B. Tăng lên nhiều checkpoint/held-out. Pass nếu max/percentile eval error trong tolerance và SPRT/A-B không regression. Không tìm thấy public NNUE Xiangqi report đủ cụ thể “BF16 train → int8 với X Elo”; không được bịa con số.</w:t>
      </w:r>
    </w:p>
    <w:p>
      <w:pPr>
        <w:pStyle w:val="Heading1"/>
      </w:pPr>
      <w:r>
        <w:t>T36-02 — EmbeddingBag CPU nhiều luồng</w:t>
      </w:r>
    </w:p>
    <w:p>
      <w:pPr>
        <w:spacing w:after="80"/>
      </w:pPr>
      <w:r>
        <w:t>EmbeddingBag có kernel/backward riêng nhưng mức song song phụ thuộc layout, sparse indices, reduction/per-sample weights và PyTorch build; CPU utilization 99% không chứng minh scaling tốt. Với fallback Windows/ROCm và sparse FT, C++ extension fused feature-transformer là hướng đáng thử khi profiler chứng minh đây là bottleneck.</w:t>
      </w:r>
    </w:p>
    <w:p>
      <w:pPr>
        <w:spacing w:after="80"/>
      </w:pPr>
      <w:r>
        <w:t>Benchmark: one-thread/4/8/16/32, B=4096, active=32, same dtype; forward/backward/optimizer tách riêng; compare EmbeddingBag, custom C++/OpenMP, oneDNN/AVX2/AVX512 and batch grouping. C++ kernel chỉ đáng viết nếu đạt ≥20–30% end-to-end gain sau accounting compile/maintenance; không tối ưu microkernel nếu dataloader/optimizer chiếm thời gian.</w:t>
      </w:r>
    </w:p>
    <w:p>
      <w:pPr>
        <w:spacing w:after="80"/>
      </w:pPr>
      <w:r>
        <w:t>Nguồn nền: PyTorch EmbeddingBag docs và official NNUE docs về whole-batch C++ parser.</w:t>
      </w:r>
    </w:p>
    <w:p>
      <w:pPr>
        <w:pStyle w:val="Heading1"/>
      </w:pPr>
      <w:r>
        <w:t>T36-03 — Chọn in_scaling/out_scaling</w:t>
      </w:r>
    </w:p>
    <w:p>
      <w:pPr>
        <w:spacing w:after="80"/>
      </w:pPr>
      <w:r>
        <w:t>Không chọn chỉ từ tỷ lệ |score|&gt;1600. Quy trình:</w:t>
      </w:r>
    </w:p>
    <w:p>
      <w:pPr>
        <w:pStyle w:val="ListNumber"/>
      </w:pPr>
      <w:r>
        <w:t>Fit teacher score → WDL/result calibration trên holdout, theo phase/material.</w:t>
      </w:r>
    </w:p>
    <w:p>
      <w:pPr>
        <w:pStyle w:val="ListNumber"/>
      </w:pPr>
      <w:r>
        <w:t>Fit candidate scale bằng minimizing calibration loss/Brier/log loss hoặc robust regression giữa teacher score và target.</w:t>
      </w:r>
    </w:p>
    <w:p>
      <w:pPr>
        <w:pStyle w:val="ListNumber"/>
      </w:pPr>
      <w:r>
        <w:t>Sweep `in/out scaling` với cùng checkpoint/data/exposure.</w:t>
      </w:r>
    </w:p>
    <w:p>
      <w:pPr>
        <w:pStyle w:val="ListNumber"/>
      </w:pPr>
      <w:r>
        <w:t>Ghi saturation rate, gradient norm, per-bucket error, output range và engine A/B.</w:t>
      </w:r>
    </w:p>
    <w:p>
      <w:pPr>
        <w:spacing w:after="80"/>
      </w:pPr>
      <w:r>
        <w:t>Với số liệu đội 6% ở vùng sigmoid &gt;0,98 và 3,8% ở hard cap, ngưỡng 10% chưa đạt chỉ có nghĩa “chưa mở A/B theo luật hiện tại”; nó không chứng minh 410/361 tối ưu. Scaling nên được chọn theo calibration + A/B, không theo một percentile đơn độc.</w:t>
      </w:r>
    </w:p>
    <w:p>
      <w:pPr>
        <w:spacing w:after="80"/>
      </w:pPr>
      <w:r>
        <w:t>---</w:t>
      </w:r>
    </w:p>
    <w:p>
      <w:pPr>
        <w:pStyle w:val="Title"/>
      </w:pPr>
      <w:r>
        <w:t>T13 kỹ thuật</w:t>
      </w:r>
    </w:p>
    <w:p>
      <w:pPr>
        <w:pStyle w:val="Heading1"/>
      </w:pPr>
      <w:r>
        <w:t>T13-01 — HIP/ROCm UMA và chặn ComfyUI</w:t>
      </w:r>
    </w:p>
    <w:p>
      <w:pPr>
        <w:spacing w:after="80"/>
      </w:pPr>
      <w:r>
        <w:t>Trên Windows WDDM, GPU allocation chịu cơ chế memory budget của WDDM/DXGI; với UMA, “VRAM” và system RAM chia sẻ physical memory, nên không cộng hai bể độc lập. hipMemGetInfo/torch.cuda.memgetinfo() phản ánh allocator/device view; DXGI Budget−CurrentUsage phản ánh WDDM budget; GlobalMemoryStatusEx phản ánh headroom hệ thống. Không có một số duy nhất luôn đủ.</w:t>
      </w:r>
    </w:p>
    <w:p>
      <w:pPr>
        <w:spacing w:after="80"/>
      </w:pPr>
      <w:r>
        <w:t>Gate nên lấy minimum bảo thủ của: OS available/commit headroom, DXGI budget headroom và HIP free view, trừ reserve cho WPF/OS/VAE. Ca thử: đọc cả ba trước/sau torch.empty theo N GiB, synchronize, giải phóng, lặp; đối chứng không cấp phát và cấp gần budget. Nếu các view lệch, chặn theo view thấp nhất + hysteresis, không dùng VRAM 40 GB + RAM 48 GB cộng thẳng.</w:t>
      </w:r>
    </w:p>
    <w:p>
      <w:pPr>
        <w:spacing w:after="80"/>
      </w:pPr>
      <w:r>
        <w:t>Nguồn: Microsoft DXGI QueryVideoMemoryInfo, WDDM GPU memory management; AMD ROCm Windows docs; PyTorch torch.cuda.memgetinfo.</w:t>
      </w:r>
    </w:p>
    <w:p>
      <w:pPr>
        <w:pStyle w:val="Heading1"/>
      </w:pPr>
      <w:r>
        <w:t>T13-02 — Backup 200–300 GB Google Drive</w:t>
      </w:r>
    </w:p>
    <w:p>
      <w:pPr>
        <w:spacing w:after="80"/>
      </w:pPr>
      <w:r>
        <w:t>Drive for desktop có cache local và việc nhìn thấy file trong G: không đồng nghĩa mọi byte đã upload/verified. Rclone Drive backend cho phép kiểm tra metadata/checksums theo API tốt hơn cho yêu cầu “chứng minh”, nhưng Google Drive checksum phụ thuộc loại file/upload và không nên giả định mọi object có MD5 giống local trong mọi mode.</w:t>
      </w:r>
    </w:p>
    <w:p>
      <w:pPr>
        <w:spacing w:after="80"/>
      </w:pPr>
      <w:r>
        <w:t>Khuyến nghị: rclone copy --checksum --transfers 3/4 --checkers ... với client ID riêng; sau copy chạy rclone check --checksum --one-way và lưu log/manifest. Chia thư mục/large files, xử lý tên lạ, retry/rate limit và quota 750 GB/ngày. Hàng triệu file nhỏ sẽ bị API/listing overhead; DriveFS có cache/streaming behavior khác. Đừng xóa local trước khi rclone check pass và manifest lưu được.</w:t>
      </w:r>
    </w:p>
    <w:p>
      <w:pPr>
        <w:spacing w:after="80"/>
      </w:pPr>
      <w:r>
        <w:t>Nguồn: https://rclone.org/drive/ và tài liệu Google Drive API file checksums/quota.</w:t>
      </w:r>
    </w:p>
    <w:p>
      <w:pPr>
        <w:pStyle w:val="Heading1"/>
      </w:pPr>
      <w:r>
        <w:t>T13-03 — Danbooru/Pony/Illustrious/NoobAI và nội dung vị thành niên</w:t>
      </w:r>
    </w:p>
    <w:p>
      <w:pPr>
        <w:spacing w:after="80"/>
      </w:pPr>
      <w:r>
        <w:t>Không tìm thấy trong phạm vi nguồn đã kiểm một báo cáo/model card cụ thể, đủ tin cậy, khẳng định chính xác tập train của Pony Diffusion V6, Illustrious-XL hoặc NoobAI-XL chứa/đã lọc nội dung vị thành niên. Không được dùng báo cáo Stanford Internet Observatory về LAION-5B để gán cho Danbooru hay các model này; đó là dataset khác.</w:t>
      </w:r>
    </w:p>
    <w:p>
      <w:pPr>
        <w:spacing w:after="80"/>
      </w:pPr>
      <w:r>
        <w:t>Model card/license nếu không công bố dataset manifest và filtering audit thì không đủ để kết luận “đã lọc”. Quy trình owner hiện tại — chặn từ khóa, deny-by-default cho workflow 18+, scan manifest và ca đỏ — là lớp policy cần giữ, nhưng không thay thế provenance của model. Chỉ thêm model khi nhà phát hành công bố nguồn/filtering rõ hoặc owner chấp nhận rủi ro bằng quyết định riêng.</w:t>
      </w:r>
    </w:p>
    <w:p>
      <w:pPr>
        <w:spacing w:after="80"/>
      </w:pPr>
      <w:r>
        <w:t>---</w:t>
      </w:r>
    </w:p>
    <w:p>
      <w:pPr>
        <w:pStyle w:val="Heading1"/>
      </w:pPr>
      <w:r>
        <w:t>Kết luận P–Q</w:t>
      </w:r>
    </w:p>
    <w:p>
      <w:pPr>
        <w:pStyle w:val="ListBullet"/>
      </w:pPr>
      <w:r>
        <w:t>Chọn lõi Fairy/variant là phương án đo được sớm; không hứa Elo từ random-net/px0.</w:t>
      </w:r>
    </w:p>
    <w:p>
      <w:pPr>
        <w:pStyle w:val="ListBullet"/>
      </w:pPr>
      <w:r>
        <w:t>PV chỉ nên là nguồn FEN rồi re-label; DTM/DTC phải gắn rule/counter.</w:t>
      </w:r>
    </w:p>
    <w:p>
      <w:pPr>
        <w:pStyle w:val="ListBullet"/>
      </w:pPr>
      <w:r>
        <w:t>SMT, BF16, EmbeddingBag, RAM UMA và ADB đều cần benchmark theo cửa sổ/đối chứng, không dùng một số peak.</w:t>
      </w:r>
    </w:p>
    <w:p>
      <w:pPr>
        <w:pStyle w:val="ListBullet"/>
      </w:pPr>
      <w:r>
        <w:t>EGTB cần stream/holdout riêng; valid loss không đủ thay cho A/B.</w:t>
      </w:r>
    </w:p>
    <w:p>
      <w:pPr>
        <w:pStyle w:val="ListBullet"/>
      </w:pPr>
      <w:r>
        <w:t>T13-03: không có nguồn cụ thể thì phải ghi **không có nguồn**, không suy đoán từ LAION sang Danbooru/Pony/Illustrious/NoobAI.</w:t>
      </w:r>
    </w:p>
    <w:p>
      <w:pPr>
        <w:pStyle w:val="Heading1"/>
      </w:pPr>
      <w:r>
        <w:t>Nguồn chính</w:t>
      </w:r>
    </w:p>
    <w:p>
      <w:pPr>
        <w:pStyle w:val="ListBullet"/>
      </w:pPr>
      <w:r>
        <w:t>Stockfish NNUE: https://official-stockfish.github.io/docs/nnue-pytorch-wiki/docs/nnue.html</w:t>
      </w:r>
    </w:p>
    <w:p>
      <w:pPr>
        <w:pStyle w:val="ListBullet"/>
      </w:pPr>
      <w:r>
        <w:t>Official NNUE trainer: https://github.com/official-stockfish/nnue-pytorch</w:t>
      </w:r>
    </w:p>
    <w:p>
      <w:pPr>
        <w:pStyle w:val="ListBullet"/>
      </w:pPr>
      <w:r>
        <w:t>Variant NNUE tools: https://github.com/fairy-stockfish/variant-nnue-tools</w:t>
      </w:r>
    </w:p>
    <w:p>
      <w:pPr>
        <w:pStyle w:val="ListBullet"/>
      </w:pPr>
      <w:r>
        <w:t>Pikafish: https://github.com/official-pikafish/Pikafish</w:t>
      </w:r>
    </w:p>
    <w:p>
      <w:pPr>
        <w:pStyle w:val="ListBullet"/>
      </w:pPr>
      <w:r>
        <w:t>Microsoft DXGI QueryVideoMemoryInfo: https://learn.microsoft.com/en-us/windows/win32/api/dxgi1_4/nf-dxgi1_4-idxgiadapter3-queryvideomemoryinfo</w:t>
      </w:r>
    </w:p>
    <w:p>
      <w:pPr>
        <w:pStyle w:val="ListBullet"/>
      </w:pPr>
      <w:r>
        <w:t>rclone Drive: https://rclone.org/drive/</w:t>
      </w:r>
    </w:p>
    <w:p>
      <w:pPr>
        <w:pStyle w:val="ListBullet"/>
      </w:pPr>
      <w:r>
        <w:t>LDPlayer ADB: https://www.ldplayer.net/support/ldplayer-adb-command-usage-guide.html</w:t>
      </w:r>
    </w:p>
    <w:p>
      <w:pPr>
        <w:pStyle w:val="ListBullet"/>
      </w:pPr>
      <w:r>
        <w:t>BlueStacks ADB: https://support.bluestacks.com/hc/en-us/articles/23925869130381-How-to-enable-Android-Debug-Bridge-on-BlueStacks-5</w:t>
      </w:r>
    </w:p>
    <w:p>
      <w:pPr>
        <w:pStyle w:val="ListBullet"/>
      </w:pPr>
      <w:r>
        <w:t>MuMu developer essentials: https://www.mumuplayer.com/help/win/developers-essentials-manual.html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Manus — DebateAI | Trang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