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 — Phần I, lô 2: BPCK đến AGRV</w:t>
      </w:r>
    </w:p>
    <w:p>
      <w:pPr>
        <w:spacing w:after="80"/>
      </w:pPr>
      <w:r>
        <w:t xml:space="preserve">Ngày: 2026-10-03 15:00  </w:t>
      </w:r>
    </w:p>
    <w:p>
      <w:pPr>
        <w:spacing w:after="80"/>
      </w:pPr>
      <w:r>
        <w:t>Quy tắc phản hồi: NHẬN khi bằng chứng ASK01 chỉ ra khẳng định sai; NHẬN — BỊA khi đường dẫn/tệp/API được viện dẫn không tồn tại hoặc không kiểm chứng được. Không bịa nguồn thay thế.</w:t>
      </w:r>
    </w:p>
    <w:p>
      <w:pPr>
        <w:spacing w:after="80"/>
      </w:pPr>
      <w:r>
        <w:t>---</w:t>
      </w:r>
    </w:p>
    <w:p>
      <w:pPr>
        <w:pStyle w:val="Heading1"/>
      </w:pPr>
      <w:r>
        <w:t>BigPickle</w:t>
      </w:r>
    </w:p>
    <w:p>
      <w:pPr>
        <w:pStyle w:val="Heading2"/>
      </w:pPr>
      <w:r>
        <w:t>BPCK-02 — “Pikafish chỉ khoảng 35.169 tham số, 137 KB FP32”</w:t>
      </w:r>
    </w:p>
    <w:p>
      <w:pPr>
        <w:spacing w:after="80"/>
      </w:pPr>
      <w:r>
        <w:t>NHẬN. Bằng chứng đội ghi core/ongthan.nnue = 50.706.378 B và fullthreats.h có dimension 45.649 × L1 1.024 int16. Con số 35.169/137 KB không mô tả artifact ongthan.nnue đã đo. Không được suy số tham số từ một kiến trúc NNUE đồ chơi/cờ vua rồi gán cho net Xiangqi của đội.</w:t>
      </w:r>
    </w:p>
    <w:p>
      <w:pPr>
        <w:pStyle w:val="Heading2"/>
      </w:pPr>
      <w:r>
        <w:t>BPCK-03 — “LayerStacks=16 nghĩa là engine nạp 16 net cùng lúc”</w:t>
      </w:r>
    </w:p>
    <w:p>
      <w:pPr>
        <w:spacing w:after="80"/>
      </w:pPr>
      <w:r>
        <w:t>NHẬN. Theo bằng chứng model.py, LayerStacks là một phép chiếu/đầu ra nhiều stack trong một model, chọn slice theo bucket; không đồng nghĩa 16 file net độc lập hay 16 process train song song. Cần phân biệt tensor stack, bucket selection và artifact .nnue.</w:t>
      </w:r>
    </w:p>
    <w:p>
      <w:pPr>
        <w:pStyle w:val="Heading2"/>
      </w:pPr>
      <w:r>
        <w:t>BPCK-04 — Công thức loss tanh + loss PSQT</w:t>
      </w:r>
    </w:p>
    <w:p>
      <w:pPr>
        <w:spacing w:after="80"/>
      </w:pPr>
      <w:r>
        <w:t>NHẬN. ASK01 ghi code dùng sigmoid và dạng λ·(p−q)^2 + (1−λ)·(q−t)^2, không phải công thức tanh được trích. Khi trả lời loss phải dẫn đúng commit/path và nêu rõ target t, teacher q, prediction p; không lấy công thức từ trainer khác.</w:t>
      </w:r>
    </w:p>
    <w:p>
      <w:pPr>
        <w:pStyle w:val="Heading2"/>
      </w:pPr>
      <w:r>
        <w:t>BPCK-08 — “256 GB RAM chỉ cache khoảng 3×10^7 vị trí”</w:t>
      </w:r>
    </w:p>
    <w:p>
      <w:pPr>
        <w:spacing w:after="80"/>
      </w:pPr>
      <w:r>
        <w:t>NHẬN. Nếu binpack đo khoảng 32 B/vị trí, cận raw là 256 GB / 32 B ≈ 8×10^9 vị trí, trước overhead. Con số 3×10^7 chỉ phù hợp với record kích thước hàng nghìn byte, trái với binpack đã nêu. Phải đo peak RSS/decoded representation, không dùng file-size của format khác.</w:t>
      </w:r>
    </w:p>
    <w:p>
      <w:pPr>
        <w:pStyle w:val="Heading2"/>
      </w:pPr>
      <w:r>
        <w:t>BPCK-09 — “Không train INT8/QAT; trainer chính thức chỉ FP32”</w:t>
      </w:r>
    </w:p>
    <w:p>
      <w:pPr>
        <w:spacing w:after="80"/>
      </w:pPr>
      <w:r>
        <w:t>NHẬN MỘT PHẦN. Có trainer/pipeline có fake-quant hoặc lượng tử hóa-aware ở giai đoạn train; điều đó không có nghĩa mọi trainer chính thức đều QAT. Với cây OngThan, ASK01 ghi fake-quant int16 trong trainnnuegpuv3.py và serialize khớp engine. Phải phân biệt FP32 optimization, fake-quant trong forward/loss và integer serialization cuối.</w:t>
      </w:r>
    </w:p>
    <w:p>
      <w:pPr>
        <w:pStyle w:val="Heading2"/>
      </w:pPr>
      <w:r>
        <w:t>BPCK-10 — “num_workers nên 8–16, không 192”</w:t>
      </w:r>
    </w:p>
    <w:p>
      <w:pPr>
        <w:spacing w:after="80"/>
      </w:pPr>
      <w:r>
        <w:t>NHẬN MỘT PHẦN. Cảnh báo không đặt 192 worker mù quáng là đúng; nhưng số tối ưu phụ thuộc loader. Theo evidence đội, sparse loader của fork OngThan yêu cầu numworkers=0; vì vậy khuyến nghị 8–16 không áp dụng. Worker count phải benchmark theo parser/IO và tránh nhân bản stream.</w:t>
      </w:r>
    </w:p>
    <w:p>
      <w:pPr>
        <w:spacing w:after="80"/>
      </w:pPr>
      <w:r>
        <w:t>---</w:t>
      </w:r>
    </w:p>
    <w:p>
      <w:pPr>
        <w:pStyle w:val="Heading1"/>
      </w:pPr>
      <w:r>
        <w:t>DeepSeek/Grok/Longcat</w:t>
      </w:r>
    </w:p>
    <w:p>
      <w:pPr>
        <w:pStyle w:val="Heading2"/>
      </w:pPr>
      <w:r>
        <w:t>DSEK-07 — “Chuyển sang NNUE nếu engine đang dùng mạng sâu”</w:t>
      </w:r>
    </w:p>
    <w:p>
      <w:pPr>
        <w:spacing w:after="80"/>
      </w:pPr>
      <w:r>
        <w:t>NHẬN. Evidence đội ghi 3/4 engine đã dùng NNUE/alpha-beta. Đây là lời khuyên không đọc code hiện trạng, không phải kế hoạch port. Chỉ đề xuất đổi kiến trúc khi engine thật sự chưa có NNUE hoặc feature/eval hiện tại không phù hợp mục tiêu.</w:t>
      </w:r>
    </w:p>
    <w:p>
      <w:pPr>
        <w:pStyle w:val="Heading2"/>
      </w:pPr>
      <w:r>
        <w:t>GROK-06 — “Trainer không có --threads nên CPU torch tự lấy hết lõi”</w:t>
      </w:r>
    </w:p>
    <w:p>
      <w:pPr>
        <w:spacing w:after="80"/>
      </w:pPr>
      <w:r>
        <w:t>NHẬN. Trainer có đường tucanhtainguyen, trần 80% CPU/chừa 8 lõi và tham số --luong-train; việc không có một flag tên --threads không chứng minh không có resource control. Phải đọc toàn bộ parser/runtime, gồm OMP/MKL/PyTorch intra/inter-op.</w:t>
      </w:r>
    </w:p>
    <w:p>
      <w:pPr>
        <w:pStyle w:val="Heading2"/>
      </w:pPr>
      <w:r>
        <w:t>LCAT-05 — torch.load('pikafish_net.pt')</w:t>
      </w:r>
    </w:p>
    <w:p>
      <w:pPr>
        <w:spacing w:after="80"/>
      </w:pPr>
      <w:r>
        <w:t>NHẬN — BỊA PATH/ARTIFACT. Evidence đội không có file .pt; net là .nnue binary và cần qua serializer/loader tương ứng. Không được dựng transfer learning bằng một filename giả. Nếu cần load checkpoint, phải chỉ ra file checkpoint thật, version model và migration code.</w:t>
      </w:r>
    </w:p>
    <w:p>
      <w:pPr>
        <w:pStyle w:val="Heading2"/>
      </w:pPr>
      <w:r>
        <w:t>LCAT-01 — “Pikafish 768→256→256→1”</w:t>
      </w:r>
    </w:p>
    <w:p>
      <w:pPr>
        <w:spacing w:after="80"/>
      </w:pPr>
      <w:r>
        <w:t>NHẬN. Evidence official/master được trích là 1024→32→32→1 cùng feature transformer Pikafish; 768 là kiến trúc khác. Mọi số layer phải gắn engine commit và net architecture hash, không lấy từ NNUE cờ vua cũ.</w:t>
      </w:r>
    </w:p>
    <w:p>
      <w:pPr>
        <w:pStyle w:val="Heading2"/>
      </w:pPr>
      <w:r>
        <w:t>LCAT-02 — num_workers=192, torch.set_num_threads(192)</w:t>
      </w:r>
    </w:p>
    <w:p>
      <w:pPr>
        <w:spacing w:after="80"/>
      </w:pPr>
      <w:r>
        <w:t>NHẬN. Evidence code đội ghi sparse loader dùng 0 worker và resource guard chừa lõi. Hai tham số này còn có thể tạo oversubscription nếu mỗi process lại sinh OMP/MKL threads. Cần đặt tổng ngân sách và đo, không dùng số lõi làm mặc định.</w:t>
      </w:r>
    </w:p>
    <w:p>
      <w:pPr>
        <w:spacing w:after="80"/>
      </w:pPr>
      <w:r>
        <w:t>---</w:t>
      </w:r>
    </w:p>
    <w:p>
      <w:pPr>
        <w:pStyle w:val="Heading1"/>
      </w:pPr>
      <w:r>
        <w:t>MuseSpark</w:t>
      </w:r>
    </w:p>
    <w:p>
      <w:pPr>
        <w:pStyle w:val="Heading2"/>
      </w:pPr>
      <w:r>
        <w:t>MUSE-07 — “DML là đường duy nhất dùng GPU AMD Windows”</w:t>
      </w:r>
    </w:p>
    <w:p>
      <w:pPr>
        <w:spacing w:after="80"/>
      </w:pPr>
      <w:r>
        <w:t>NHẬN. Đây là khẳng định quá rộng và đã bị phép đo đội phản ví dụ bằng ROCm/torch build trên Windows với cuda=True. Cần nói theo phiên bản GPU/driver/torch: DirectML là một lựa chọn, không phải định luật duy nhất.</w:t>
      </w:r>
    </w:p>
    <w:p>
      <w:pPr>
        <w:pStyle w:val="Heading2"/>
      </w:pPr>
      <w:r>
        <w:t>MUSE-08 — “Linux ROCm chạy cả 3 trainer; Windows dùng DirectML; HalfKAv2 dùng DirectML nếu cài được”</w:t>
      </w:r>
    </w:p>
    <w:p>
      <w:pPr>
        <w:spacing w:after="80"/>
      </w:pPr>
      <w:r>
        <w:t>NHẬN. Evidence train.py/Lightning không có accelerator DirectML và torch-directml yêu cầu phiên bản torch cụ thể khác môi trường 2.11/2.12. Không được tuyên bố “chạy được” chỉ vì backend tồn tại; cần matrix phiên bản, device smoke test và train step.</w:t>
      </w:r>
    </w:p>
    <w:p>
      <w:pPr>
        <w:pStyle w:val="Heading2"/>
      </w:pPr>
      <w:r>
        <w:t>MUSE-09 — Lệnh CPU-NNUE python train.py … --batch-size 2048 --threads 64</w:t>
      </w:r>
    </w:p>
    <w:p>
      <w:pPr>
        <w:spacing w:after="80"/>
      </w:pPr>
      <w:r>
        <w:t>NHẬN. Evidence cho thấy --help gãy ở addargparseargs, sau đó code gọi .cuda()/pinmemory; lệnh không phải CPU path hợp lệ trong environment đó. Sửa tối thiểu vài flag chưa đủ; cần CPU-safe model/device, loader và dependency pin.</w:t>
      </w:r>
    </w:p>
    <w:p>
      <w:pPr>
        <w:spacing w:after="80"/>
      </w:pPr>
      <w:r>
        <w:t>---</w:t>
      </w:r>
    </w:p>
    <w:p>
      <w:pPr>
        <w:pStyle w:val="Heading1"/>
      </w:pPr>
      <w:r>
        <w:t>Nemotron</w:t>
      </w:r>
    </w:p>
    <w:p>
      <w:pPr>
        <w:pStyle w:val="Heading2"/>
      </w:pPr>
      <w:r>
        <w:t>NEMO-08 — gradient_clip_algorithm='checkpoint' để activation checkpointing</w:t>
      </w:r>
    </w:p>
    <w:p>
      <w:pPr>
        <w:spacing w:after="80"/>
      </w:pPr>
      <w:r>
        <w:t>NHẬN — BỊA API. gradientclipalgorithm chỉ là policy clipping (ví dụ norm/value), không phải activation checkpointing. Activation checkpointing là cơ chế khác trong PyTorch/Lightning; không đổi tên enum để làm phát sinh feature.</w:t>
      </w:r>
    </w:p>
    <w:p>
      <w:pPr>
        <w:pStyle w:val="Heading2"/>
      </w:pPr>
      <w:r>
        <w:t>NEMO-11 — Paper “Training Neural Networks with Limited Memory — Chen et al., 2018”</w:t>
      </w:r>
    </w:p>
    <w:p>
      <w:pPr>
        <w:spacing w:after="80"/>
      </w:pPr>
      <w:r>
        <w:t>NHẬN — BỊA trích dẫn. Evidence không tìm thấy paper đúng tiêu đề/năm; nguồn gần đúng được chỉ ra là Chen et al., 2016, “Training Deep Nets with Sublinear Memory Cost”, arXiv:1604.06174. Không dùng citation cũ nếu không mở được URL/DOI.</w:t>
      </w:r>
    </w:p>
    <w:p>
      <w:pPr>
        <w:pStyle w:val="Heading2"/>
      </w:pPr>
      <w:r>
        <w:t>NEMO-02 — OngThan features=40.960 và loss MSE(cp)+BCE(wdl)</w:t>
      </w:r>
    </w:p>
    <w:p>
      <w:pPr>
        <w:spacing w:after="80"/>
      </w:pPr>
      <w:r>
        <w:t>NHẬN. Evidence variant thực tế là NUMINPUTS=10.530; model loss không có BCE ở các dòng được viện dẫn. Số 40.960 và loss WDL là ghép từ kiến trúc/branch khác. Phải xác định đúng tree SHIP/DEV trước khi trích code.</w:t>
      </w:r>
    </w:p>
    <w:p>
      <w:pPr>
        <w:pStyle w:val="Heading2"/>
      </w:pPr>
      <w:r>
        <w:t>NEMO-03 — Dẫn các dòng Bodetosu cũ như trainer hiện hành</w:t>
      </w:r>
    </w:p>
    <w:p>
      <w:pPr>
        <w:spacing w:after="80"/>
      </w:pPr>
      <w:r>
        <w:t>NHẬN. Các dòng 461–783 thuộc cây cũ/DEV có cảnh báo KHONGPHAICAYCHINH; cây SHIP có các dòng khác. Dẫn line number không kèm commit/tree là không đủ và có thể làm người đọc sửa nhầm code không chạy.</w:t>
      </w:r>
    </w:p>
    <w:p>
      <w:pPr>
        <w:pStyle w:val="Heading2"/>
      </w:pPr>
      <w:r>
        <w:t>NEMO-04 — Jieqi “kế thừa Bodetosu; CPU/DirectML/ROCm/XPU sẵn sàng”</w:t>
      </w:r>
    </w:p>
    <w:p>
      <w:pPr>
        <w:spacing w:after="80"/>
      </w:pPr>
      <w:r>
        <w:t>NHẬN. Có lựa chọn device trong một script DEV không chứng minh mọi backend đã train end-to-end. Cần test import, device allocation, forward, backward, checkpoint và reload trên từng backend; evidence hiện chỉ cho thấy choices, không phải mức hỗ trợ hoàn chỉnh.</w:t>
      </w:r>
    </w:p>
    <w:p>
      <w:pPr>
        <w:pStyle w:val="Heading2"/>
      </w:pPr>
      <w:r>
        <w:t>NEMO-05 — OngThan CPU-only chạy được</w:t>
      </w:r>
    </w:p>
    <w:p>
      <w:pPr>
        <w:spacing w:after="80"/>
      </w:pPr>
      <w:r>
        <w:t>NHẬN. Evidence train.py --help đã gãy do dependency/API; code gọi .cuda() và loader dùng pinmemory. Vì vậy không thể ghi dấu CPU-only ✅. Muốn hỗ trợ CPU phải có test CPU từ đầu đến checkpoint.</w:t>
      </w:r>
    </w:p>
    <w:p>
      <w:pPr>
        <w:pStyle w:val="Heading2"/>
      </w:pPr>
      <w:r>
        <w:t>NEMO-07 — ROCm không hỗ trợ iGPU/APU; cần WSL 1–2 tuần</w:t>
      </w:r>
    </w:p>
    <w:p>
      <w:pPr>
        <w:spacing w:after="80"/>
      </w:pPr>
      <w:r>
        <w:t>NHẬN. Phép đo đội trên gfx1151/ROCm Windows phản ví dụ phần “không hỗ trợ”. Mặt khác, khả năng backend không đồng nghĩa trainer chạy được: bottleneck hiện có thể là Lightning/dependency. Không được hứa thời gian WSL cho “tất cả trainer” khi chưa có compatibility matrix.</w:t>
      </w:r>
    </w:p>
    <w:p>
      <w:pPr>
        <w:spacing w:after="80"/>
      </w:pPr>
      <w:r>
        <w:t>---</w:t>
      </w:r>
    </w:p>
    <w:p>
      <w:pPr>
        <w:pStyle w:val="Heading1"/>
      </w:pPr>
      <w:r>
        <w:t>OxAlpha/SpaceBunny</w:t>
      </w:r>
    </w:p>
    <w:p>
      <w:pPr>
        <w:pStyle w:val="Heading2"/>
      </w:pPr>
      <w:r>
        <w:t>OXAL-02 — Augmentation đối xứng nhân 8×</w:t>
      </w:r>
    </w:p>
    <w:p>
      <w:pPr>
        <w:spacing w:after="80"/>
      </w:pPr>
      <w:r>
        <w:t>NHẬN. Với cờ tướng, phép lật trái–phải hợp lệ thường cho ×2; rotate 90° không bảo toàn bàn cờ/rules như chess 8-way. Chỉ thêm augmentation nếu chứng minh biến đổi giữ legal semantics và feature mapping.</w:t>
      </w:r>
    </w:p>
    <w:p>
      <w:pPr>
        <w:pStyle w:val="Heading2"/>
      </w:pPr>
      <w:r>
        <w:t>OXAL-06 — “Chuyển sang Pikafish-style”</w:t>
      </w:r>
    </w:p>
    <w:p>
      <w:pPr>
        <w:spacing w:after="80"/>
      </w:pPr>
      <w:r>
        <w:t>NHẬN. Evidence các engine mục tiêu đã có alpha-beta + NNUE. Vấn đề cần giải là architecture/feature/trainer/serialization và benchmark, không phải đổi sang một họ engine mà họ đã thuộc về.</w:t>
      </w:r>
    </w:p>
    <w:p>
      <w:pPr>
        <w:pStyle w:val="Heading2"/>
      </w:pPr>
      <w:r>
        <w:t>SBUN-03 — Sửa 2–3 dòng là OngThan chạy CPU</w:t>
      </w:r>
    </w:p>
    <w:p>
      <w:pPr>
        <w:spacing w:after="80"/>
      </w:pPr>
      <w:r>
        <w:t>NHẬN. Dependency addargparseargs gãy trước; .cuda() và pinmemory còn là lỗi device path. Không thể gọi đây là sửa 2–3 dòng nếu chưa có CPU smoke test.</w:t>
      </w:r>
    </w:p>
    <w:p>
      <w:pPr>
        <w:pStyle w:val="Heading2"/>
      </w:pPr>
      <w:r>
        <w:t>SBUN-08 — 8 tỷ mẫu và dự toán 8,8/168 ngày</w:t>
      </w:r>
    </w:p>
    <w:p>
      <w:pPr>
        <w:spacing w:after="80"/>
      </w:pPr>
      <w:r>
        <w:t>NHẬN. Evidence chỉ ra “epoch” là lượt qua kho khoảng 2.010.659 mẫu; 10.540/s là số GPU cụ thể, 552,5/s là số CPU 32 luồng. Không được trộn rate giữa device và nhầm epoch với số sample độc lập. Dự toán phải ghi total optimizer samples, datagen rate và train rate riêng.</w:t>
      </w:r>
    </w:p>
    <w:p>
      <w:pPr>
        <w:pStyle w:val="Heading2"/>
      </w:pPr>
      <w:r>
        <w:t>SBUN-09 — 10.530 là HKA Lc0, dense 10.530×512</w:t>
      </w:r>
    </w:p>
    <w:p>
      <w:pPr>
        <w:spacing w:after="80"/>
      </w:pPr>
      <w:r>
        <w:t>NHẬN. HalfKAv2 là sparse feature transformer/EmbeddingBag; 10.530 không phải một dense input layer kiểu 10.530×512. Phải đọc feature indices, active feature count và accumulator update.</w:t>
      </w:r>
    </w:p>
    <w:p>
      <w:pPr>
        <w:pStyle w:val="Heading2"/>
      </w:pPr>
      <w:r>
        <w:t>SBUN-11 — --device cpu --threads 64</w:t>
      </w:r>
    </w:p>
    <w:p>
      <w:pPr>
        <w:spacing w:after="80"/>
      </w:pPr>
      <w:r>
        <w:t>NHẬN. Evidence SHIP không có --threads; resource control đi qua --luong-train/auto guard. Không đưa lệnh CLI chưa tồn tại vào hướng dẫn.</w:t>
      </w:r>
    </w:p>
    <w:p>
      <w:pPr>
        <w:spacing w:after="80"/>
      </w:pPr>
      <w:r>
        <w:t>---</w:t>
      </w:r>
    </w:p>
    <w:p>
      <w:pPr>
        <w:pStyle w:val="Heading1"/>
      </w:pPr>
      <w:r>
        <w:t>Unknown_2909/antigravity</w:t>
      </w:r>
    </w:p>
    <w:p>
      <w:pPr>
        <w:pStyle w:val="Heading2"/>
      </w:pPr>
      <w:r>
        <w:t>U2909-05 — torch.load('pikafish_net.pt') + freeze fc1</w:t>
      </w:r>
    </w:p>
    <w:p>
      <w:pPr>
        <w:spacing w:after="80"/>
      </w:pPr>
      <w:r>
        <w:t>NHẬN — BỊA artifact. Không có .pt; net .nnue binary. Cũng chưa chứng minh fc1 tồn tại với đúng architecture. Cần checkpoint/serializer thật trước khi thiết kế freeze.</w:t>
      </w:r>
    </w:p>
    <w:p>
      <w:pPr>
        <w:pStyle w:val="Heading2"/>
      </w:pPr>
      <w:r>
        <w:t>U2909-01 — Pikafish 768→256→256→1</w:t>
      </w:r>
    </w:p>
    <w:p>
      <w:pPr>
        <w:spacing w:after="80"/>
      </w:pPr>
      <w:r>
        <w:t>NHẬN. Lặp lại lỗi architecture: evidence official/master là 1024→32→32→1 theo branch được trích, kèm feature transformer riêng.</w:t>
      </w:r>
    </w:p>
    <w:p>
      <w:pPr>
        <w:pStyle w:val="Heading2"/>
      </w:pPr>
      <w:r>
        <w:t>U2909-02 — DataLoader 192 worker</w:t>
      </w:r>
    </w:p>
    <w:p>
      <w:pPr>
        <w:spacing w:after="80"/>
      </w:pPr>
      <w:r>
        <w:t>NHẬN. Evidence train.py ghi 0 cho sparse loader. 192 worker còn có nguy cơ duplicate stream/oversubscription.</w:t>
      </w:r>
    </w:p>
    <w:p>
      <w:pPr>
        <w:pStyle w:val="Heading2"/>
      </w:pPr>
      <w:r>
        <w:t>U2909-03 — torch.cuda.amp.autocast chạy CPU BF16 nhanh 1,5–2×</w:t>
      </w:r>
    </w:p>
    <w:p>
      <w:pPr>
        <w:spacing w:after="80"/>
      </w:pPr>
      <w:r>
        <w:t>NHẬN MỘT PHẦN. API torch.cuda.amp là CUDA path; CPU nên dùng torch.autocast(devicetype='cpu', dtype=torch.bfloat16) theo version hỗ trợ. Mức nhanh 1,5–2× chưa có benchmark và có thể chậm hơn do cast/unsupported ops. Cần đo wall-clock, accuracy và fallback.</w:t>
      </w:r>
    </w:p>
    <w:p>
      <w:pPr>
        <w:pStyle w:val="Heading2"/>
      </w:pPr>
      <w:r>
        <w:t>U2909-04 — CPU chậm 10–50× và chậm 1,5–2×</w:t>
      </w:r>
    </w:p>
    <w:p>
      <w:pPr>
        <w:spacing w:after="80"/>
      </w:pPr>
      <w:r>
        <w:t>NHẬN. Hai khẳng định mâu thuẫn trong cùng bài và đều không có điều kiện hardware/net/batch. Chỉ báo slowdown sau benchmark cùng samples, precision, backend, worker và I/O.</w:t>
      </w:r>
    </w:p>
    <w:p>
      <w:pPr>
        <w:pStyle w:val="Heading2"/>
      </w:pPr>
      <w:r>
        <w:t>AGRV-03 — Repo nnue-xiangqi có sẵn trên GitHub</w:t>
      </w:r>
    </w:p>
    <w:p>
      <w:pPr>
        <w:spacing w:after="80"/>
      </w:pPr>
      <w:r>
        <w:t>NHẬN — BỊA nguồn. Không có URL/tên đầy đủ/commit để kiểm tra. Không đưa repo vào provenance nếu không mở được URL và license.</w:t>
      </w:r>
    </w:p>
    <w:p>
      <w:pPr>
        <w:pStyle w:val="Heading2"/>
      </w:pPr>
      <w:r>
        <w:t>AGRV-02 — Chuyển sang NNUE + MCTS</w:t>
      </w:r>
    </w:p>
    <w:p>
      <w:pPr>
        <w:spacing w:after="80"/>
      </w:pPr>
      <w:r>
        <w:t>NHẬN. NNUE thường là evaluator trong alpha-beta; MCTS cần tree policy/value/rollout và interface khác. Nếu đề xuất hybrid, phải mô tả policy/value và benchmark; không coi MCTS là bước mặc định để “dùng NNUE”.</w:t>
      </w:r>
    </w:p>
    <w:p>
      <w:pPr>
        <w:pStyle w:val="Heading2"/>
      </w:pPr>
      <w:r>
        <w:t>AGRV-05 — Tải net 8-bit cộng đồng rồi fine-tune vài giờ bằng CPU</w:t>
      </w:r>
    </w:p>
    <w:p>
      <w:pPr>
        <w:spacing w:after="80"/>
      </w:pPr>
      <w:r>
        <w:t>NHẬN. Evidence không có net 8-bit community tương thích architecture nhà; net official/license cũng không tự cho phép thương mại. “Vài giờ” không có sample count/throughput/quality test. Chỉ dùng artifact khi có hash, architecture compatibility, license và A/B.</w:t>
      </w:r>
    </w:p>
    <w:p>
      <w:pPr>
        <w:spacing w:after="80"/>
      </w:pPr>
      <w:r>
        <w:t>---</w:t>
      </w:r>
    </w:p>
    <w:p>
      <w:pPr>
        <w:pStyle w:val="Heading1"/>
      </w:pPr>
      <w:r>
        <w:t>Chốt lô 2</w:t>
      </w:r>
    </w:p>
    <w:p>
      <w:pPr>
        <w:spacing w:after="80"/>
      </w:pPr>
      <w:r>
        <w:t>Tất cả mã trên đều được NHẬN theo evidence của ASK01; các mã BỊA được ghi rõ là NHẬN — BỊA. Các con số/đường dẫn trong ASK01 là bằng chứng đội; khi chưa có toàn bộ source tree trong phiên này, tôi không biến chúng thành “đã tự chạy lại”.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Manus — DebateAI |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