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F9E3" w14:textId="77777777" w:rsidR="000F4C8D" w:rsidRPr="000F4C8D" w:rsidRDefault="000F4C8D" w:rsidP="000F4C8D">
      <w:pPr>
        <w:jc w:val="both"/>
        <w:rPr>
          <w:sz w:val="22"/>
          <w:szCs w:val="22"/>
        </w:rPr>
      </w:pPr>
      <w:r w:rsidRPr="000F4C8D">
        <w:rPr>
          <w:b/>
          <w:bCs/>
          <w:sz w:val="22"/>
          <w:szCs w:val="22"/>
        </w:rPr>
        <w:t>Overview</w:t>
      </w:r>
      <w:r>
        <w:rPr>
          <w:sz w:val="22"/>
          <w:szCs w:val="22"/>
        </w:rPr>
        <w:t xml:space="preserve"> </w:t>
      </w:r>
      <w:r>
        <w:rPr>
          <w:sz w:val="22"/>
          <w:szCs w:val="22"/>
        </w:rPr>
        <w:br/>
      </w:r>
      <w:r w:rsidRPr="000F4C8D">
        <w:rPr>
          <w:sz w:val="22"/>
          <w:szCs w:val="22"/>
        </w:rPr>
        <w:t>Recent work on “Moving Beyond Solidarity Rhetoric in Global Health” makes a substantive contribution by grounding the concept of solidarity in the lived experiences and diverse interpretations of actors across the global health ecosystem. Through its interpretive and pluriversal design, the study resists universal definitions and instead emphasises the situated, relational, and contested nature of solidaristic practice. A central output of this programme is the development of a tool intended to support funders in translating normative commitments to solidarity into concrete action, thereby addressing a widely recognised gap between ethical rhetoric and operational practice.</w:t>
      </w:r>
    </w:p>
    <w:p w14:paraId="0AE545E5" w14:textId="77777777" w:rsidR="000F4C8D" w:rsidRPr="000F4C8D" w:rsidRDefault="000F4C8D" w:rsidP="000F4C8D">
      <w:pPr>
        <w:jc w:val="both"/>
        <w:rPr>
          <w:sz w:val="22"/>
          <w:szCs w:val="22"/>
        </w:rPr>
      </w:pPr>
      <w:r w:rsidRPr="000F4C8D">
        <w:rPr>
          <w:sz w:val="22"/>
          <w:szCs w:val="22"/>
        </w:rPr>
        <w:t xml:space="preserve">Building on this foundation, this concept proposes the development of a </w:t>
      </w:r>
      <w:r w:rsidRPr="000F4C8D">
        <w:rPr>
          <w:b/>
          <w:bCs/>
          <w:sz w:val="22"/>
          <w:szCs w:val="22"/>
        </w:rPr>
        <w:t>Solidarity Profile framework</w:t>
      </w:r>
      <w:r w:rsidRPr="000F4C8D">
        <w:rPr>
          <w:sz w:val="22"/>
          <w:szCs w:val="22"/>
        </w:rPr>
        <w:t xml:space="preserve"> as a complementary translational mechanism. The central challenge addressed here is how to render rich qualitative insights decision-relevant without undermining their epistemic integrity. Existing approaches to operationalisation, particularly index-based models, often risk reducing complex social phenomena into simplified metrics, imposing implicit universality, and reproducing existing power hierarchies. The proposed framework responds to this challenge by prioritising structured interpretation over quantification, and reflection over ranking.</w:t>
      </w:r>
    </w:p>
    <w:p w14:paraId="18B72BA0" w14:textId="77777777" w:rsidR="000F4C8D" w:rsidRPr="000F4C8D" w:rsidRDefault="000F4C8D" w:rsidP="000F4C8D">
      <w:pPr>
        <w:jc w:val="both"/>
        <w:rPr>
          <w:sz w:val="22"/>
          <w:szCs w:val="22"/>
        </w:rPr>
      </w:pPr>
      <w:r w:rsidRPr="000F4C8D">
        <w:rPr>
          <w:sz w:val="22"/>
          <w:szCs w:val="22"/>
        </w:rPr>
        <w:t>The Solidarity Profile is conceived as a multidimensional, domain-based framework that maps how solidarity is enacted across key areas such as inclusion, power-sharing, equity, responsiveness, and accountability. Rather than generating a single composite score, the framework produces a differentiated profile that highlights patterns, tensions, and variations across domains. Indicators within each domain remain flexible and context-sensitive, allowing for multiple legitimate expressions of solidarity to coexist. In this way, the tool facilitates both retrospective assessment of programmes and prospective decision-making, while preserving the plural and context-dependent meanings identified through the study.</w:t>
      </w:r>
    </w:p>
    <w:p w14:paraId="46114CE7" w14:textId="77777777" w:rsidR="000F4C8D" w:rsidRPr="000F4C8D" w:rsidRDefault="000F4C8D" w:rsidP="000F4C8D">
      <w:pPr>
        <w:jc w:val="both"/>
        <w:rPr>
          <w:sz w:val="22"/>
          <w:szCs w:val="22"/>
        </w:rPr>
      </w:pPr>
      <w:r w:rsidRPr="000F4C8D">
        <w:rPr>
          <w:sz w:val="22"/>
          <w:szCs w:val="22"/>
        </w:rPr>
        <w:t>Importantly, the framework is explicitly designed to address key methodological and ethical concerns. To mitigate risks of reductionism, it avoids aggregation into singular metrics and retains qualitative narrative alongside structured outputs. In alignment with pluriversal principles, it does not seek consensus or uniform benchmarks, but instead supports the coexistence of diverse perspectives within a shared analytical structure. Furthermore, by grounding domains in empirical findings from a wide range of actors and enabling participatory interpretation, the framework seeks to minimise epistemic dominance and foreground underrepresented voices in its application.</w:t>
      </w:r>
    </w:p>
    <w:p w14:paraId="20C0011A" w14:textId="77777777" w:rsidR="000F4C8D" w:rsidRPr="000F4C8D" w:rsidRDefault="000F4C8D" w:rsidP="000F4C8D">
      <w:pPr>
        <w:jc w:val="both"/>
        <w:rPr>
          <w:sz w:val="22"/>
          <w:szCs w:val="22"/>
        </w:rPr>
      </w:pPr>
      <w:r w:rsidRPr="000F4C8D">
        <w:rPr>
          <w:sz w:val="22"/>
          <w:szCs w:val="22"/>
        </w:rPr>
        <w:t>Overall, the Solidarity Profile offers a means of bridging the gap between interpretive insight and practical application in global health. It complements the existing research by extending its findings into a form that can engage decision-makers while remaining faithful to its conceptual commitments. In doing so, it contributes to an ongoing methodological challenge: how to translate plural, context-sensitive knowledge into tools capable of informing policy and funding decisions without erasing the diversity from which that knowledge derives.</w:t>
      </w:r>
    </w:p>
    <w:p w14:paraId="49A8B788" w14:textId="00F70B5B" w:rsidR="000F4C8D" w:rsidRPr="000F4C8D" w:rsidRDefault="000F4C8D" w:rsidP="000F4C8D">
      <w:pPr>
        <w:jc w:val="both"/>
        <w:rPr>
          <w:sz w:val="22"/>
          <w:szCs w:val="22"/>
        </w:rPr>
      </w:pPr>
    </w:p>
    <w:p w14:paraId="55829DC5" w14:textId="77777777" w:rsidR="000F4C8D" w:rsidRDefault="000F4C8D" w:rsidP="000F4C8D">
      <w:pPr>
        <w:jc w:val="both"/>
        <w:rPr>
          <w:b/>
          <w:bCs/>
          <w:sz w:val="22"/>
          <w:szCs w:val="22"/>
        </w:rPr>
      </w:pPr>
    </w:p>
    <w:p w14:paraId="278949CA" w14:textId="6895CA66" w:rsidR="000F4C8D" w:rsidRPr="000F4C8D" w:rsidRDefault="000F4C8D" w:rsidP="000F4C8D">
      <w:pPr>
        <w:jc w:val="both"/>
        <w:rPr>
          <w:b/>
          <w:bCs/>
          <w:sz w:val="22"/>
          <w:szCs w:val="22"/>
        </w:rPr>
      </w:pPr>
      <w:r w:rsidRPr="000F4C8D">
        <w:rPr>
          <w:b/>
          <w:bCs/>
          <w:sz w:val="22"/>
          <w:szCs w:val="22"/>
        </w:rPr>
        <w:lastRenderedPageBreak/>
        <w:t>Methods: Development of the Solidarity Profile Framework</w:t>
      </w:r>
    </w:p>
    <w:p w14:paraId="58E08041" w14:textId="77777777" w:rsidR="000F4C8D" w:rsidRPr="000F4C8D" w:rsidRDefault="000F4C8D" w:rsidP="000F4C8D">
      <w:pPr>
        <w:jc w:val="both"/>
        <w:rPr>
          <w:b/>
          <w:bCs/>
          <w:sz w:val="22"/>
          <w:szCs w:val="22"/>
        </w:rPr>
      </w:pPr>
      <w:r w:rsidRPr="000F4C8D">
        <w:rPr>
          <w:b/>
          <w:bCs/>
          <w:sz w:val="22"/>
          <w:szCs w:val="22"/>
        </w:rPr>
        <w:t>Study Design and Conceptual Approach</w:t>
      </w:r>
    </w:p>
    <w:p w14:paraId="37A52E75" w14:textId="36776111" w:rsidR="000F4C8D" w:rsidRPr="000F4C8D" w:rsidRDefault="000F4C8D" w:rsidP="000F4C8D">
      <w:pPr>
        <w:jc w:val="both"/>
        <w:rPr>
          <w:sz w:val="22"/>
          <w:szCs w:val="22"/>
        </w:rPr>
      </w:pPr>
      <w:r w:rsidRPr="000F4C8D">
        <w:rPr>
          <w:sz w:val="22"/>
          <w:szCs w:val="22"/>
        </w:rPr>
        <w:t xml:space="preserve">The development of the Solidarity Profile framework adopts a </w:t>
      </w:r>
      <w:r w:rsidRPr="000F4C8D">
        <w:rPr>
          <w:b/>
          <w:bCs/>
          <w:sz w:val="22"/>
          <w:szCs w:val="22"/>
        </w:rPr>
        <w:t>qualitative translational design</w:t>
      </w:r>
      <w:r w:rsidRPr="000F4C8D">
        <w:rPr>
          <w:sz w:val="22"/>
          <w:szCs w:val="22"/>
        </w:rPr>
        <w:t xml:space="preserve">, aimed at converting empirically grounded, pluriversal insights on solidarity into a structured, decision-support tool. This approach is anchored in the interpretive and pluriversal epistemology underpinning the broader research programme, which conceptualises solidarity not as a fixed or universal construct, but as a </w:t>
      </w:r>
      <w:r w:rsidRPr="000F4C8D">
        <w:rPr>
          <w:b/>
          <w:bCs/>
          <w:sz w:val="22"/>
          <w:szCs w:val="22"/>
        </w:rPr>
        <w:t>context-dependent, relational, and dynamically enacted practice</w:t>
      </w:r>
      <w:r w:rsidRPr="000F4C8D">
        <w:rPr>
          <w:sz w:val="22"/>
          <w:szCs w:val="22"/>
        </w:rPr>
        <w:t xml:space="preserve">. </w:t>
      </w:r>
    </w:p>
    <w:p w14:paraId="56F4071C" w14:textId="77777777" w:rsidR="000F4C8D" w:rsidRPr="000F4C8D" w:rsidRDefault="000F4C8D" w:rsidP="000F4C8D">
      <w:pPr>
        <w:jc w:val="both"/>
        <w:rPr>
          <w:sz w:val="22"/>
          <w:szCs w:val="22"/>
        </w:rPr>
      </w:pPr>
      <w:r w:rsidRPr="000F4C8D">
        <w:rPr>
          <w:sz w:val="22"/>
          <w:szCs w:val="22"/>
        </w:rPr>
        <w:t xml:space="preserve">Rather than imposing predefined metrics, the methodology is designed to preserve the plurality of meanings surfaced through qualitative interviews, workshops, and iterative stakeholder engagements. The framework therefore seeks to balance </w:t>
      </w:r>
      <w:r w:rsidRPr="000F4C8D">
        <w:rPr>
          <w:b/>
          <w:bCs/>
          <w:sz w:val="22"/>
          <w:szCs w:val="22"/>
        </w:rPr>
        <w:t>analytical structure with epistemic openness</w:t>
      </w:r>
      <w:r w:rsidRPr="000F4C8D">
        <w:rPr>
          <w:sz w:val="22"/>
          <w:szCs w:val="22"/>
        </w:rPr>
        <w:t>, ensuring that operationalisation does not result in reductionism or the erasure of contextual variation.</w:t>
      </w:r>
    </w:p>
    <w:p w14:paraId="1FD97F1E" w14:textId="739F045D" w:rsidR="000F4C8D" w:rsidRPr="000F4C8D" w:rsidRDefault="000F4C8D" w:rsidP="000F4C8D">
      <w:pPr>
        <w:jc w:val="both"/>
        <w:rPr>
          <w:sz w:val="22"/>
          <w:szCs w:val="22"/>
        </w:rPr>
      </w:pPr>
      <w:r w:rsidRPr="000F4C8D">
        <w:rPr>
          <w:sz w:val="22"/>
          <w:szCs w:val="22"/>
        </w:rPr>
        <w:t xml:space="preserve">The methodological process follows a </w:t>
      </w:r>
      <w:r w:rsidRPr="000F4C8D">
        <w:rPr>
          <w:b/>
          <w:bCs/>
          <w:sz w:val="22"/>
          <w:szCs w:val="22"/>
        </w:rPr>
        <w:t>four-stage translational pipeline</w:t>
      </w:r>
      <w:r w:rsidRPr="000F4C8D">
        <w:rPr>
          <w:sz w:val="22"/>
          <w:szCs w:val="22"/>
        </w:rPr>
        <w:t>: (1) principle-to-domain translation, (2) indicator co-construction, (3) profile development, and (4) deliberative application. These stages collectively ensure that the resulting tool remains grounded in empirical data while being usable for reflective and decision-making purposes within the global health funding ecosystem.</w:t>
      </w:r>
    </w:p>
    <w:p w14:paraId="75EE66AE" w14:textId="77777777" w:rsidR="000F4C8D" w:rsidRPr="000F4C8D" w:rsidRDefault="000F4C8D" w:rsidP="000F4C8D">
      <w:pPr>
        <w:jc w:val="both"/>
        <w:rPr>
          <w:b/>
          <w:bCs/>
          <w:sz w:val="22"/>
          <w:szCs w:val="22"/>
        </w:rPr>
      </w:pPr>
      <w:r w:rsidRPr="000F4C8D">
        <w:rPr>
          <w:b/>
          <w:bCs/>
          <w:sz w:val="22"/>
          <w:szCs w:val="22"/>
        </w:rPr>
        <w:t>Stage 1: Principle-to-Domain Translation</w:t>
      </w:r>
    </w:p>
    <w:p w14:paraId="55E617AC" w14:textId="5CC2BC21" w:rsidR="000F4C8D" w:rsidRPr="000F4C8D" w:rsidRDefault="000F4C8D" w:rsidP="000F4C8D">
      <w:pPr>
        <w:jc w:val="both"/>
        <w:rPr>
          <w:sz w:val="22"/>
          <w:szCs w:val="22"/>
        </w:rPr>
      </w:pPr>
      <w:r w:rsidRPr="000F4C8D">
        <w:rPr>
          <w:sz w:val="22"/>
          <w:szCs w:val="22"/>
        </w:rPr>
        <w:t xml:space="preserve">The first stage involves the systematic translation of the empirically derived </w:t>
      </w:r>
      <w:r w:rsidRPr="000F4C8D">
        <w:rPr>
          <w:b/>
          <w:bCs/>
          <w:sz w:val="22"/>
          <w:szCs w:val="22"/>
        </w:rPr>
        <w:t>3–3–3 framework of solidarity principles</w:t>
      </w:r>
      <w:r w:rsidRPr="000F4C8D">
        <w:rPr>
          <w:sz w:val="22"/>
          <w:szCs w:val="22"/>
        </w:rPr>
        <w:t xml:space="preserve"> into a set of analytical domains. The principles, organised into three dimensions—</w:t>
      </w:r>
      <w:r w:rsidRPr="000F4C8D">
        <w:rPr>
          <w:b/>
          <w:bCs/>
          <w:sz w:val="22"/>
          <w:szCs w:val="22"/>
        </w:rPr>
        <w:t>what solidarity entails, how it is enacted, and to what ends it is directed</w:t>
      </w:r>
      <w:r w:rsidRPr="000F4C8D">
        <w:rPr>
          <w:sz w:val="22"/>
          <w:szCs w:val="22"/>
        </w:rPr>
        <w:t xml:space="preserve">—provide the conceptual foundation of the framework.  </w:t>
      </w:r>
    </w:p>
    <w:p w14:paraId="77270210" w14:textId="77777777" w:rsidR="000F4C8D" w:rsidRPr="000F4C8D" w:rsidRDefault="000F4C8D" w:rsidP="000F4C8D">
      <w:pPr>
        <w:jc w:val="both"/>
        <w:rPr>
          <w:sz w:val="22"/>
          <w:szCs w:val="22"/>
        </w:rPr>
      </w:pPr>
      <w:r w:rsidRPr="000F4C8D">
        <w:rPr>
          <w:sz w:val="22"/>
          <w:szCs w:val="22"/>
        </w:rPr>
        <w:t xml:space="preserve">Rather than treating each principle as an independent evaluative criterion, principles are interpreted as </w:t>
      </w:r>
      <w:r w:rsidRPr="000F4C8D">
        <w:rPr>
          <w:b/>
          <w:bCs/>
          <w:sz w:val="22"/>
          <w:szCs w:val="22"/>
        </w:rPr>
        <w:t>conceptual anchors</w:t>
      </w:r>
      <w:r w:rsidRPr="000F4C8D">
        <w:rPr>
          <w:sz w:val="22"/>
          <w:szCs w:val="22"/>
        </w:rPr>
        <w:t xml:space="preserve"> and grouped into broader domains that enhance analytical usability while retaining conceptual fidelity. This process involves iterative mapping of principles to domains, guided by thematic coherence and practical relevance for decision-making contexts.</w:t>
      </w:r>
    </w:p>
    <w:p w14:paraId="2E872530" w14:textId="77777777" w:rsidR="000F4C8D" w:rsidRPr="000F4C8D" w:rsidRDefault="000F4C8D" w:rsidP="000F4C8D">
      <w:pPr>
        <w:jc w:val="both"/>
        <w:rPr>
          <w:sz w:val="22"/>
          <w:szCs w:val="22"/>
        </w:rPr>
      </w:pPr>
      <w:r w:rsidRPr="000F4C8D">
        <w:rPr>
          <w:sz w:val="22"/>
          <w:szCs w:val="22"/>
        </w:rPr>
        <w:t>The outcome of this stage is a structured set of domains spanning the three core dimensions:</w:t>
      </w:r>
    </w:p>
    <w:p w14:paraId="11AA6234" w14:textId="77777777" w:rsidR="000F4C8D" w:rsidRPr="000F4C8D" w:rsidRDefault="000F4C8D" w:rsidP="000F4C8D">
      <w:pPr>
        <w:numPr>
          <w:ilvl w:val="0"/>
          <w:numId w:val="1"/>
        </w:numPr>
        <w:jc w:val="both"/>
        <w:rPr>
          <w:sz w:val="22"/>
          <w:szCs w:val="22"/>
        </w:rPr>
      </w:pPr>
      <w:r w:rsidRPr="000F4C8D">
        <w:rPr>
          <w:b/>
          <w:bCs/>
          <w:sz w:val="22"/>
          <w:szCs w:val="22"/>
        </w:rPr>
        <w:t>Nature of solidarity (WHAT)</w:t>
      </w:r>
    </w:p>
    <w:p w14:paraId="50862E78" w14:textId="77777777" w:rsidR="000F4C8D" w:rsidRPr="000F4C8D" w:rsidRDefault="000F4C8D" w:rsidP="000F4C8D">
      <w:pPr>
        <w:numPr>
          <w:ilvl w:val="0"/>
          <w:numId w:val="1"/>
        </w:numPr>
        <w:jc w:val="both"/>
        <w:rPr>
          <w:sz w:val="22"/>
          <w:szCs w:val="22"/>
        </w:rPr>
      </w:pPr>
      <w:r w:rsidRPr="000F4C8D">
        <w:rPr>
          <w:b/>
          <w:bCs/>
          <w:sz w:val="22"/>
          <w:szCs w:val="22"/>
        </w:rPr>
        <w:t>Modes of enactment (HOW)</w:t>
      </w:r>
    </w:p>
    <w:p w14:paraId="46B199AB" w14:textId="77777777" w:rsidR="000F4C8D" w:rsidRPr="000F4C8D" w:rsidRDefault="000F4C8D" w:rsidP="000F4C8D">
      <w:pPr>
        <w:numPr>
          <w:ilvl w:val="0"/>
          <w:numId w:val="1"/>
        </w:numPr>
        <w:jc w:val="both"/>
        <w:rPr>
          <w:sz w:val="22"/>
          <w:szCs w:val="22"/>
        </w:rPr>
      </w:pPr>
      <w:r w:rsidRPr="000F4C8D">
        <w:rPr>
          <w:b/>
          <w:bCs/>
          <w:sz w:val="22"/>
          <w:szCs w:val="22"/>
        </w:rPr>
        <w:t>Transformative ends (TO WHAT END)</w:t>
      </w:r>
    </w:p>
    <w:p w14:paraId="763F9140" w14:textId="4E4CA3CA" w:rsidR="000F4C8D" w:rsidRPr="000F4C8D" w:rsidRDefault="000F4C8D" w:rsidP="000F4C8D">
      <w:pPr>
        <w:jc w:val="both"/>
        <w:rPr>
          <w:sz w:val="22"/>
          <w:szCs w:val="22"/>
        </w:rPr>
      </w:pPr>
      <w:r w:rsidRPr="000F4C8D">
        <w:rPr>
          <w:sz w:val="22"/>
          <w:szCs w:val="22"/>
        </w:rPr>
        <w:t>This structuring enables a consistent yet flexible analytical basis for subsequent stages.</w:t>
      </w:r>
    </w:p>
    <w:p w14:paraId="7FB4334A" w14:textId="77777777" w:rsidR="000F4C8D" w:rsidRPr="000F4C8D" w:rsidRDefault="000F4C8D" w:rsidP="000F4C8D">
      <w:pPr>
        <w:jc w:val="both"/>
        <w:rPr>
          <w:b/>
          <w:bCs/>
          <w:sz w:val="22"/>
          <w:szCs w:val="22"/>
        </w:rPr>
      </w:pPr>
      <w:r w:rsidRPr="000F4C8D">
        <w:rPr>
          <w:b/>
          <w:bCs/>
          <w:sz w:val="22"/>
          <w:szCs w:val="22"/>
        </w:rPr>
        <w:t>Stage 2: Indicator Co-Construction</w:t>
      </w:r>
    </w:p>
    <w:p w14:paraId="3F20A594" w14:textId="77777777" w:rsidR="000F4C8D" w:rsidRPr="000F4C8D" w:rsidRDefault="000F4C8D" w:rsidP="000F4C8D">
      <w:pPr>
        <w:jc w:val="both"/>
        <w:rPr>
          <w:sz w:val="22"/>
          <w:szCs w:val="22"/>
        </w:rPr>
      </w:pPr>
      <w:r w:rsidRPr="000F4C8D">
        <w:rPr>
          <w:sz w:val="22"/>
          <w:szCs w:val="22"/>
        </w:rPr>
        <w:t xml:space="preserve">The second stage focuses on the development of </w:t>
      </w:r>
      <w:r w:rsidRPr="000F4C8D">
        <w:rPr>
          <w:b/>
          <w:bCs/>
          <w:sz w:val="22"/>
          <w:szCs w:val="22"/>
        </w:rPr>
        <w:t>plural and context-sensitive indicators</w:t>
      </w:r>
      <w:r w:rsidRPr="000F4C8D">
        <w:rPr>
          <w:sz w:val="22"/>
          <w:szCs w:val="22"/>
        </w:rPr>
        <w:t xml:space="preserve"> for each domain. Indicators are generated inductively from:</w:t>
      </w:r>
    </w:p>
    <w:p w14:paraId="627CF6CE" w14:textId="77777777" w:rsidR="000F4C8D" w:rsidRPr="000F4C8D" w:rsidRDefault="000F4C8D" w:rsidP="000F4C8D">
      <w:pPr>
        <w:numPr>
          <w:ilvl w:val="0"/>
          <w:numId w:val="2"/>
        </w:numPr>
        <w:jc w:val="both"/>
        <w:rPr>
          <w:sz w:val="22"/>
          <w:szCs w:val="22"/>
        </w:rPr>
      </w:pPr>
      <w:r w:rsidRPr="000F4C8D">
        <w:rPr>
          <w:sz w:val="22"/>
          <w:szCs w:val="22"/>
        </w:rPr>
        <w:lastRenderedPageBreak/>
        <w:t>Workshop-derived principles</w:t>
      </w:r>
    </w:p>
    <w:p w14:paraId="6F152715" w14:textId="77777777" w:rsidR="000F4C8D" w:rsidRPr="000F4C8D" w:rsidRDefault="000F4C8D" w:rsidP="000F4C8D">
      <w:pPr>
        <w:numPr>
          <w:ilvl w:val="0"/>
          <w:numId w:val="2"/>
        </w:numPr>
        <w:jc w:val="both"/>
        <w:rPr>
          <w:sz w:val="22"/>
          <w:szCs w:val="22"/>
        </w:rPr>
      </w:pPr>
      <w:r w:rsidRPr="000F4C8D">
        <w:rPr>
          <w:sz w:val="22"/>
          <w:szCs w:val="22"/>
        </w:rPr>
        <w:t>Empirical examples of solidaristic practice and failure</w:t>
      </w:r>
    </w:p>
    <w:p w14:paraId="19894033" w14:textId="77777777" w:rsidR="000F4C8D" w:rsidRPr="000F4C8D" w:rsidRDefault="000F4C8D" w:rsidP="000F4C8D">
      <w:pPr>
        <w:numPr>
          <w:ilvl w:val="0"/>
          <w:numId w:val="2"/>
        </w:numPr>
        <w:jc w:val="both"/>
        <w:rPr>
          <w:sz w:val="22"/>
          <w:szCs w:val="22"/>
        </w:rPr>
      </w:pPr>
      <w:r w:rsidRPr="000F4C8D">
        <w:rPr>
          <w:sz w:val="22"/>
          <w:szCs w:val="22"/>
        </w:rPr>
        <w:t>Thematic insights from qualitative data</w:t>
      </w:r>
    </w:p>
    <w:p w14:paraId="4170A9D6" w14:textId="77777777" w:rsidR="000F4C8D" w:rsidRPr="000F4C8D" w:rsidRDefault="000F4C8D" w:rsidP="000F4C8D">
      <w:pPr>
        <w:jc w:val="both"/>
        <w:rPr>
          <w:sz w:val="22"/>
          <w:szCs w:val="22"/>
        </w:rPr>
      </w:pPr>
      <w:r w:rsidRPr="000F4C8D">
        <w:rPr>
          <w:sz w:val="22"/>
          <w:szCs w:val="22"/>
        </w:rPr>
        <w:t xml:space="preserve">In contrast to conventional index design, indicators are not intended as fixed metrics with universal thresholds. Instead, they function as </w:t>
      </w:r>
      <w:r w:rsidRPr="000F4C8D">
        <w:rPr>
          <w:b/>
          <w:bCs/>
          <w:sz w:val="22"/>
          <w:szCs w:val="22"/>
        </w:rPr>
        <w:t>analytical prompts</w:t>
      </w:r>
      <w:r w:rsidRPr="000F4C8D">
        <w:rPr>
          <w:sz w:val="22"/>
          <w:szCs w:val="22"/>
        </w:rPr>
        <w:t xml:space="preserve"> that guide interpretation and reflection. Each domain is populated with multiple indicators to capture the diverse ways in which solidarity may be expressed, negotiated, or constrained in different contexts.</w:t>
      </w:r>
    </w:p>
    <w:p w14:paraId="1A305142" w14:textId="77777777" w:rsidR="000F4C8D" w:rsidRPr="000F4C8D" w:rsidRDefault="000F4C8D" w:rsidP="000F4C8D">
      <w:pPr>
        <w:jc w:val="both"/>
        <w:rPr>
          <w:sz w:val="22"/>
          <w:szCs w:val="22"/>
        </w:rPr>
      </w:pPr>
      <w:r w:rsidRPr="000F4C8D">
        <w:rPr>
          <w:sz w:val="22"/>
          <w:szCs w:val="22"/>
        </w:rPr>
        <w:t>Indicators are designed according to three guiding principles:</w:t>
      </w:r>
    </w:p>
    <w:p w14:paraId="4AAA14A3" w14:textId="77777777" w:rsidR="000F4C8D" w:rsidRPr="000F4C8D" w:rsidRDefault="000F4C8D" w:rsidP="000F4C8D">
      <w:pPr>
        <w:numPr>
          <w:ilvl w:val="0"/>
          <w:numId w:val="3"/>
        </w:numPr>
        <w:jc w:val="both"/>
        <w:rPr>
          <w:sz w:val="22"/>
          <w:szCs w:val="22"/>
        </w:rPr>
      </w:pPr>
      <w:r w:rsidRPr="000F4C8D">
        <w:rPr>
          <w:b/>
          <w:bCs/>
          <w:sz w:val="22"/>
          <w:szCs w:val="22"/>
        </w:rPr>
        <w:t>Descriptiveness over prescription</w:t>
      </w:r>
      <w:r w:rsidRPr="000F4C8D">
        <w:rPr>
          <w:sz w:val="22"/>
          <w:szCs w:val="22"/>
        </w:rPr>
        <w:t xml:space="preserve"> – Indicators describe practices rather than prescribe standards</w:t>
      </w:r>
    </w:p>
    <w:p w14:paraId="79E68BE0" w14:textId="77777777" w:rsidR="000F4C8D" w:rsidRPr="000F4C8D" w:rsidRDefault="000F4C8D" w:rsidP="000F4C8D">
      <w:pPr>
        <w:numPr>
          <w:ilvl w:val="0"/>
          <w:numId w:val="3"/>
        </w:numPr>
        <w:jc w:val="both"/>
        <w:rPr>
          <w:sz w:val="22"/>
          <w:szCs w:val="22"/>
        </w:rPr>
      </w:pPr>
      <w:r w:rsidRPr="000F4C8D">
        <w:rPr>
          <w:b/>
          <w:bCs/>
          <w:sz w:val="22"/>
          <w:szCs w:val="22"/>
        </w:rPr>
        <w:t>Multiplicity of expression</w:t>
      </w:r>
      <w:r w:rsidRPr="000F4C8D">
        <w:rPr>
          <w:sz w:val="22"/>
          <w:szCs w:val="22"/>
        </w:rPr>
        <w:t xml:space="preserve"> – Multiple valid manifestations of solidarity are recognised</w:t>
      </w:r>
    </w:p>
    <w:p w14:paraId="1C910856" w14:textId="77777777" w:rsidR="000F4C8D" w:rsidRPr="000F4C8D" w:rsidRDefault="000F4C8D" w:rsidP="000F4C8D">
      <w:pPr>
        <w:numPr>
          <w:ilvl w:val="0"/>
          <w:numId w:val="3"/>
        </w:numPr>
        <w:jc w:val="both"/>
        <w:rPr>
          <w:sz w:val="22"/>
          <w:szCs w:val="22"/>
        </w:rPr>
      </w:pPr>
      <w:r w:rsidRPr="000F4C8D">
        <w:rPr>
          <w:b/>
          <w:bCs/>
          <w:sz w:val="22"/>
          <w:szCs w:val="22"/>
        </w:rPr>
        <w:t>Attention to tension and contradiction</w:t>
      </w:r>
      <w:r w:rsidRPr="000F4C8D">
        <w:rPr>
          <w:sz w:val="22"/>
          <w:szCs w:val="22"/>
        </w:rPr>
        <w:t xml:space="preserve"> – Indicators explicitly allow for partial or conflicting expressions of solidarity</w:t>
      </w:r>
    </w:p>
    <w:p w14:paraId="3D2534FA" w14:textId="61FB0263" w:rsidR="000F4C8D" w:rsidRPr="000F4C8D" w:rsidRDefault="000F4C8D" w:rsidP="000F4C8D">
      <w:pPr>
        <w:jc w:val="both"/>
        <w:rPr>
          <w:sz w:val="22"/>
          <w:szCs w:val="22"/>
        </w:rPr>
      </w:pPr>
      <w:r w:rsidRPr="000F4C8D">
        <w:rPr>
          <w:sz w:val="22"/>
          <w:szCs w:val="22"/>
        </w:rPr>
        <w:t>For example, rather than assigning a numerical score to “power-sharing,” the framework examines the degree and form of participation, decision-making authority, and accountability mechanisms across actors. This approach preserves complexity while enabling structured analysis.</w:t>
      </w:r>
    </w:p>
    <w:p w14:paraId="576E2214" w14:textId="77777777" w:rsidR="000F4C8D" w:rsidRPr="000F4C8D" w:rsidRDefault="000F4C8D" w:rsidP="000F4C8D">
      <w:pPr>
        <w:jc w:val="both"/>
        <w:rPr>
          <w:b/>
          <w:bCs/>
          <w:sz w:val="22"/>
          <w:szCs w:val="22"/>
        </w:rPr>
      </w:pPr>
      <w:r w:rsidRPr="000F4C8D">
        <w:rPr>
          <w:b/>
          <w:bCs/>
          <w:sz w:val="22"/>
          <w:szCs w:val="22"/>
        </w:rPr>
        <w:t>Stage 3: Profile Development</w:t>
      </w:r>
    </w:p>
    <w:p w14:paraId="371E4025" w14:textId="77777777" w:rsidR="000F4C8D" w:rsidRPr="000F4C8D" w:rsidRDefault="000F4C8D" w:rsidP="000F4C8D">
      <w:pPr>
        <w:jc w:val="both"/>
        <w:rPr>
          <w:sz w:val="22"/>
          <w:szCs w:val="22"/>
        </w:rPr>
      </w:pPr>
      <w:r w:rsidRPr="000F4C8D">
        <w:rPr>
          <w:sz w:val="22"/>
          <w:szCs w:val="22"/>
        </w:rPr>
        <w:t xml:space="preserve">The third stage involves the construction of the </w:t>
      </w:r>
      <w:r w:rsidRPr="000F4C8D">
        <w:rPr>
          <w:b/>
          <w:bCs/>
          <w:sz w:val="22"/>
          <w:szCs w:val="22"/>
        </w:rPr>
        <w:t>Solidarity Profile</w:t>
      </w:r>
      <w:r w:rsidRPr="000F4C8D">
        <w:rPr>
          <w:sz w:val="22"/>
          <w:szCs w:val="22"/>
        </w:rPr>
        <w:t>, which replaces traditional index scoring with a multidimensional representation of solidaristic practice.</w:t>
      </w:r>
    </w:p>
    <w:p w14:paraId="1E8F8DFB" w14:textId="77777777" w:rsidR="000F4C8D" w:rsidRPr="000F4C8D" w:rsidRDefault="000F4C8D" w:rsidP="000F4C8D">
      <w:pPr>
        <w:jc w:val="both"/>
        <w:rPr>
          <w:sz w:val="22"/>
          <w:szCs w:val="22"/>
        </w:rPr>
      </w:pPr>
      <w:r w:rsidRPr="000F4C8D">
        <w:rPr>
          <w:sz w:val="22"/>
          <w:szCs w:val="22"/>
        </w:rPr>
        <w:t>Each domain is assessed along two complementary axes:</w:t>
      </w:r>
    </w:p>
    <w:p w14:paraId="0446950D" w14:textId="77777777" w:rsidR="000F4C8D" w:rsidRPr="000F4C8D" w:rsidRDefault="000F4C8D" w:rsidP="000F4C8D">
      <w:pPr>
        <w:numPr>
          <w:ilvl w:val="0"/>
          <w:numId w:val="4"/>
        </w:numPr>
        <w:jc w:val="both"/>
        <w:rPr>
          <w:sz w:val="22"/>
          <w:szCs w:val="22"/>
        </w:rPr>
      </w:pPr>
      <w:r w:rsidRPr="000F4C8D">
        <w:rPr>
          <w:sz w:val="22"/>
          <w:szCs w:val="22"/>
        </w:rPr>
        <w:t xml:space="preserve">A </w:t>
      </w:r>
      <w:r w:rsidRPr="000F4C8D">
        <w:rPr>
          <w:b/>
          <w:bCs/>
          <w:sz w:val="22"/>
          <w:szCs w:val="22"/>
        </w:rPr>
        <w:t>qualitative rating scale</w:t>
      </w:r>
      <w:r w:rsidRPr="000F4C8D">
        <w:rPr>
          <w:sz w:val="22"/>
          <w:szCs w:val="22"/>
        </w:rPr>
        <w:t xml:space="preserve"> (e.g., emerging, partial, or strong expression)</w:t>
      </w:r>
    </w:p>
    <w:p w14:paraId="22D0D669" w14:textId="77777777" w:rsidR="000F4C8D" w:rsidRPr="000F4C8D" w:rsidRDefault="000F4C8D" w:rsidP="000F4C8D">
      <w:pPr>
        <w:numPr>
          <w:ilvl w:val="0"/>
          <w:numId w:val="4"/>
        </w:numPr>
        <w:jc w:val="both"/>
        <w:rPr>
          <w:sz w:val="22"/>
          <w:szCs w:val="22"/>
        </w:rPr>
      </w:pPr>
      <w:r w:rsidRPr="000F4C8D">
        <w:rPr>
          <w:sz w:val="22"/>
          <w:szCs w:val="22"/>
        </w:rPr>
        <w:t xml:space="preserve">A </w:t>
      </w:r>
      <w:r w:rsidRPr="000F4C8D">
        <w:rPr>
          <w:b/>
          <w:bCs/>
          <w:sz w:val="22"/>
          <w:szCs w:val="22"/>
        </w:rPr>
        <w:t>narrative justification</w:t>
      </w:r>
      <w:r w:rsidRPr="000F4C8D">
        <w:rPr>
          <w:sz w:val="22"/>
          <w:szCs w:val="22"/>
        </w:rPr>
        <w:t>, detailing the contextual interpretation of the assessment</w:t>
      </w:r>
    </w:p>
    <w:p w14:paraId="40BE46F2" w14:textId="77777777" w:rsidR="000F4C8D" w:rsidRPr="000F4C8D" w:rsidRDefault="000F4C8D" w:rsidP="000F4C8D">
      <w:pPr>
        <w:jc w:val="both"/>
        <w:rPr>
          <w:sz w:val="22"/>
          <w:szCs w:val="22"/>
        </w:rPr>
      </w:pPr>
      <w:r w:rsidRPr="000F4C8D">
        <w:rPr>
          <w:sz w:val="22"/>
          <w:szCs w:val="22"/>
        </w:rPr>
        <w:t xml:space="preserve">Importantly, domain-level assessments are </w:t>
      </w:r>
      <w:r w:rsidRPr="000F4C8D">
        <w:rPr>
          <w:b/>
          <w:bCs/>
          <w:sz w:val="22"/>
          <w:szCs w:val="22"/>
        </w:rPr>
        <w:t>not aggregated into a composite score</w:t>
      </w:r>
      <w:r w:rsidRPr="000F4C8D">
        <w:rPr>
          <w:sz w:val="22"/>
          <w:szCs w:val="22"/>
        </w:rPr>
        <w:t xml:space="preserve">. This design choice is deliberate and reflects a commitment to avoiding reductionism and false comparability across contexts. Instead, the framework produces a </w:t>
      </w:r>
      <w:r w:rsidRPr="000F4C8D">
        <w:rPr>
          <w:b/>
          <w:bCs/>
          <w:sz w:val="22"/>
          <w:szCs w:val="22"/>
        </w:rPr>
        <w:t>profile</w:t>
      </w:r>
      <w:r w:rsidRPr="000F4C8D">
        <w:rPr>
          <w:sz w:val="22"/>
          <w:szCs w:val="22"/>
        </w:rPr>
        <w:t xml:space="preserve"> that highlights:</w:t>
      </w:r>
    </w:p>
    <w:p w14:paraId="5EB492B8" w14:textId="77777777" w:rsidR="000F4C8D" w:rsidRPr="000F4C8D" w:rsidRDefault="000F4C8D" w:rsidP="000F4C8D">
      <w:pPr>
        <w:numPr>
          <w:ilvl w:val="0"/>
          <w:numId w:val="5"/>
        </w:numPr>
        <w:jc w:val="both"/>
        <w:rPr>
          <w:sz w:val="22"/>
          <w:szCs w:val="22"/>
        </w:rPr>
      </w:pPr>
      <w:r w:rsidRPr="000F4C8D">
        <w:rPr>
          <w:sz w:val="22"/>
          <w:szCs w:val="22"/>
        </w:rPr>
        <w:t>Areas of alignment with solidaristic principles</w:t>
      </w:r>
    </w:p>
    <w:p w14:paraId="506D90C2" w14:textId="77777777" w:rsidR="000F4C8D" w:rsidRPr="000F4C8D" w:rsidRDefault="000F4C8D" w:rsidP="000F4C8D">
      <w:pPr>
        <w:numPr>
          <w:ilvl w:val="0"/>
          <w:numId w:val="5"/>
        </w:numPr>
        <w:jc w:val="both"/>
        <w:rPr>
          <w:sz w:val="22"/>
          <w:szCs w:val="22"/>
        </w:rPr>
      </w:pPr>
      <w:r w:rsidRPr="000F4C8D">
        <w:rPr>
          <w:sz w:val="22"/>
          <w:szCs w:val="22"/>
        </w:rPr>
        <w:t>Gaps or limitations in practice</w:t>
      </w:r>
    </w:p>
    <w:p w14:paraId="16573C3E" w14:textId="77777777" w:rsidR="000F4C8D" w:rsidRPr="000F4C8D" w:rsidRDefault="000F4C8D" w:rsidP="000F4C8D">
      <w:pPr>
        <w:numPr>
          <w:ilvl w:val="0"/>
          <w:numId w:val="5"/>
        </w:numPr>
        <w:jc w:val="both"/>
        <w:rPr>
          <w:sz w:val="22"/>
          <w:szCs w:val="22"/>
        </w:rPr>
      </w:pPr>
      <w:r w:rsidRPr="000F4C8D">
        <w:rPr>
          <w:sz w:val="22"/>
          <w:szCs w:val="22"/>
        </w:rPr>
        <w:t>Internal tensions or contradictions</w:t>
      </w:r>
    </w:p>
    <w:p w14:paraId="6F034B94" w14:textId="485DA9C8" w:rsidR="000F4C8D" w:rsidRPr="000F4C8D" w:rsidRDefault="000F4C8D" w:rsidP="000F4C8D">
      <w:pPr>
        <w:jc w:val="both"/>
        <w:rPr>
          <w:sz w:val="22"/>
          <w:szCs w:val="22"/>
        </w:rPr>
      </w:pPr>
      <w:r w:rsidRPr="000F4C8D">
        <w:rPr>
          <w:sz w:val="22"/>
          <w:szCs w:val="22"/>
        </w:rPr>
        <w:t>This profiling approach enables both retrospective evaluation (e.g., of programmes or funding mechanisms) and prospective application (e.g., informing decision-making or design choices), while maintaining sensitivity to context.</w:t>
      </w:r>
    </w:p>
    <w:p w14:paraId="6C7760FA" w14:textId="77777777" w:rsidR="000F4C8D" w:rsidRPr="000F4C8D" w:rsidRDefault="000F4C8D" w:rsidP="000F4C8D">
      <w:pPr>
        <w:jc w:val="both"/>
        <w:rPr>
          <w:b/>
          <w:bCs/>
          <w:sz w:val="22"/>
          <w:szCs w:val="22"/>
        </w:rPr>
      </w:pPr>
      <w:r w:rsidRPr="000F4C8D">
        <w:rPr>
          <w:b/>
          <w:bCs/>
          <w:sz w:val="22"/>
          <w:szCs w:val="22"/>
        </w:rPr>
        <w:t>Stage 4: Deliberative Application</w:t>
      </w:r>
    </w:p>
    <w:p w14:paraId="3AD04C89" w14:textId="77777777" w:rsidR="000F4C8D" w:rsidRPr="000F4C8D" w:rsidRDefault="000F4C8D" w:rsidP="000F4C8D">
      <w:pPr>
        <w:jc w:val="both"/>
        <w:rPr>
          <w:sz w:val="22"/>
          <w:szCs w:val="22"/>
        </w:rPr>
      </w:pPr>
      <w:r w:rsidRPr="000F4C8D">
        <w:rPr>
          <w:sz w:val="22"/>
          <w:szCs w:val="22"/>
        </w:rPr>
        <w:lastRenderedPageBreak/>
        <w:t xml:space="preserve">The final stage situates the Solidarity Profile within a </w:t>
      </w:r>
      <w:r w:rsidRPr="000F4C8D">
        <w:rPr>
          <w:b/>
          <w:bCs/>
          <w:sz w:val="22"/>
          <w:szCs w:val="22"/>
        </w:rPr>
        <w:t>deliberative and participatory application process</w:t>
      </w:r>
      <w:r w:rsidRPr="000F4C8D">
        <w:rPr>
          <w:sz w:val="22"/>
          <w:szCs w:val="22"/>
        </w:rPr>
        <w:t>. Rather than functioning as a standalone technical instrument, the framework is designed to facilitate structured dialogue among diverse stakeholders, including funders, implementers, researchers, and community actors.</w:t>
      </w:r>
    </w:p>
    <w:p w14:paraId="6414E508" w14:textId="77777777" w:rsidR="000F4C8D" w:rsidRPr="000F4C8D" w:rsidRDefault="000F4C8D" w:rsidP="000F4C8D">
      <w:pPr>
        <w:jc w:val="both"/>
        <w:rPr>
          <w:sz w:val="22"/>
          <w:szCs w:val="22"/>
        </w:rPr>
      </w:pPr>
      <w:r w:rsidRPr="000F4C8D">
        <w:rPr>
          <w:sz w:val="22"/>
          <w:szCs w:val="22"/>
        </w:rPr>
        <w:t>Application of the tool involves:</w:t>
      </w:r>
    </w:p>
    <w:p w14:paraId="10A345C4" w14:textId="77777777" w:rsidR="000F4C8D" w:rsidRPr="000F4C8D" w:rsidRDefault="000F4C8D" w:rsidP="000F4C8D">
      <w:pPr>
        <w:numPr>
          <w:ilvl w:val="0"/>
          <w:numId w:val="6"/>
        </w:numPr>
        <w:jc w:val="both"/>
        <w:rPr>
          <w:sz w:val="22"/>
          <w:szCs w:val="22"/>
        </w:rPr>
      </w:pPr>
      <w:r w:rsidRPr="000F4C8D">
        <w:rPr>
          <w:sz w:val="22"/>
          <w:szCs w:val="22"/>
        </w:rPr>
        <w:t>Multi-actor engagement in interpreting indicators</w:t>
      </w:r>
    </w:p>
    <w:p w14:paraId="62B82C38" w14:textId="77777777" w:rsidR="000F4C8D" w:rsidRPr="000F4C8D" w:rsidRDefault="000F4C8D" w:rsidP="000F4C8D">
      <w:pPr>
        <w:numPr>
          <w:ilvl w:val="0"/>
          <w:numId w:val="6"/>
        </w:numPr>
        <w:jc w:val="both"/>
        <w:rPr>
          <w:sz w:val="22"/>
          <w:szCs w:val="22"/>
        </w:rPr>
      </w:pPr>
      <w:r w:rsidRPr="000F4C8D">
        <w:rPr>
          <w:sz w:val="22"/>
          <w:szCs w:val="22"/>
        </w:rPr>
        <w:t>Collective reflection on domain-level findings</w:t>
      </w:r>
    </w:p>
    <w:p w14:paraId="4E854D24" w14:textId="77777777" w:rsidR="000F4C8D" w:rsidRPr="000F4C8D" w:rsidRDefault="000F4C8D" w:rsidP="000F4C8D">
      <w:pPr>
        <w:numPr>
          <w:ilvl w:val="0"/>
          <w:numId w:val="6"/>
        </w:numPr>
        <w:jc w:val="both"/>
        <w:rPr>
          <w:sz w:val="22"/>
          <w:szCs w:val="22"/>
        </w:rPr>
      </w:pPr>
      <w:r w:rsidRPr="000F4C8D">
        <w:rPr>
          <w:sz w:val="22"/>
          <w:szCs w:val="22"/>
        </w:rPr>
        <w:t>Explicit discussion of disagreement, trade-offs, and power dynamics</w:t>
      </w:r>
    </w:p>
    <w:p w14:paraId="6AED2E06" w14:textId="2E0398B5" w:rsidR="000F4C8D" w:rsidRPr="000F4C8D" w:rsidRDefault="000F4C8D" w:rsidP="000F4C8D">
      <w:pPr>
        <w:jc w:val="both"/>
        <w:rPr>
          <w:sz w:val="22"/>
          <w:szCs w:val="22"/>
        </w:rPr>
      </w:pPr>
      <w:r w:rsidRPr="000F4C8D">
        <w:rPr>
          <w:sz w:val="22"/>
          <w:szCs w:val="22"/>
        </w:rPr>
        <w:t xml:space="preserve">This approach aligns with the project’s emphasis on solidarity as a </w:t>
      </w:r>
      <w:r w:rsidRPr="000F4C8D">
        <w:rPr>
          <w:b/>
          <w:bCs/>
          <w:sz w:val="22"/>
          <w:szCs w:val="22"/>
        </w:rPr>
        <w:t>relational and negotiated process</w:t>
      </w:r>
      <w:r w:rsidRPr="000F4C8D">
        <w:rPr>
          <w:sz w:val="22"/>
          <w:szCs w:val="22"/>
        </w:rPr>
        <w:t xml:space="preserve">, and with the recognition that meanings of solidarity may differ across actors and contexts. </w:t>
      </w:r>
    </w:p>
    <w:p w14:paraId="5F6459F7" w14:textId="14762AC0" w:rsidR="000F4C8D" w:rsidRPr="000F4C8D" w:rsidRDefault="000F4C8D" w:rsidP="000F4C8D">
      <w:pPr>
        <w:jc w:val="both"/>
        <w:rPr>
          <w:sz w:val="22"/>
          <w:szCs w:val="22"/>
        </w:rPr>
      </w:pPr>
      <w:r w:rsidRPr="000F4C8D">
        <w:rPr>
          <w:sz w:val="22"/>
          <w:szCs w:val="22"/>
        </w:rPr>
        <w:t>Additionally, the deliberative design serves as a safeguard against “solidarity washing” by encouraging critical examination of inconsistencies between stated commitments and actual practices.</w:t>
      </w:r>
    </w:p>
    <w:p w14:paraId="27DC502B" w14:textId="77777777" w:rsidR="000F4C8D" w:rsidRPr="000F4C8D" w:rsidRDefault="000F4C8D" w:rsidP="000F4C8D">
      <w:pPr>
        <w:jc w:val="both"/>
        <w:rPr>
          <w:b/>
          <w:bCs/>
          <w:sz w:val="22"/>
          <w:szCs w:val="22"/>
        </w:rPr>
      </w:pPr>
      <w:r w:rsidRPr="000F4C8D">
        <w:rPr>
          <w:b/>
          <w:bCs/>
          <w:sz w:val="22"/>
          <w:szCs w:val="22"/>
        </w:rPr>
        <w:t>Safeguards and Methodological Considerations</w:t>
      </w:r>
    </w:p>
    <w:p w14:paraId="49FC49A0" w14:textId="77777777" w:rsidR="000F4C8D" w:rsidRPr="000F4C8D" w:rsidRDefault="000F4C8D" w:rsidP="000F4C8D">
      <w:pPr>
        <w:jc w:val="both"/>
        <w:rPr>
          <w:sz w:val="22"/>
          <w:szCs w:val="22"/>
        </w:rPr>
      </w:pPr>
      <w:r w:rsidRPr="000F4C8D">
        <w:rPr>
          <w:sz w:val="22"/>
          <w:szCs w:val="22"/>
        </w:rPr>
        <w:t>The methodology incorporates several safeguards to address known risks associated with operationalising normative concepts:</w:t>
      </w:r>
    </w:p>
    <w:p w14:paraId="6EA16E51" w14:textId="77777777" w:rsidR="000F4C8D" w:rsidRPr="000F4C8D" w:rsidRDefault="000F4C8D" w:rsidP="000F4C8D">
      <w:pPr>
        <w:numPr>
          <w:ilvl w:val="0"/>
          <w:numId w:val="7"/>
        </w:numPr>
        <w:jc w:val="both"/>
        <w:rPr>
          <w:sz w:val="22"/>
          <w:szCs w:val="22"/>
        </w:rPr>
      </w:pPr>
      <w:r w:rsidRPr="000F4C8D">
        <w:rPr>
          <w:b/>
          <w:bCs/>
          <w:sz w:val="22"/>
          <w:szCs w:val="22"/>
        </w:rPr>
        <w:t>Avoiding reductionism</w:t>
      </w:r>
      <w:r w:rsidRPr="000F4C8D">
        <w:rPr>
          <w:sz w:val="22"/>
          <w:szCs w:val="22"/>
        </w:rPr>
        <w:t>: The framework does not produce a single score or ranking, and qualitative narratives are retained alongside structured outputs.</w:t>
      </w:r>
    </w:p>
    <w:p w14:paraId="4212088B" w14:textId="77777777" w:rsidR="000F4C8D" w:rsidRPr="000F4C8D" w:rsidRDefault="000F4C8D" w:rsidP="000F4C8D">
      <w:pPr>
        <w:numPr>
          <w:ilvl w:val="0"/>
          <w:numId w:val="7"/>
        </w:numPr>
        <w:jc w:val="both"/>
        <w:rPr>
          <w:sz w:val="22"/>
          <w:szCs w:val="22"/>
        </w:rPr>
      </w:pPr>
      <w:r w:rsidRPr="000F4C8D">
        <w:rPr>
          <w:b/>
          <w:bCs/>
          <w:sz w:val="22"/>
          <w:szCs w:val="22"/>
        </w:rPr>
        <w:t>Preserving pluriversality</w:t>
      </w:r>
      <w:r w:rsidRPr="000F4C8D">
        <w:rPr>
          <w:sz w:val="22"/>
          <w:szCs w:val="22"/>
        </w:rPr>
        <w:t>: Indicators are adaptable and do not impose universal benchmarks, allowing for contextual interpretation.</w:t>
      </w:r>
    </w:p>
    <w:p w14:paraId="48DEA4B9" w14:textId="77777777" w:rsidR="000F4C8D" w:rsidRPr="000F4C8D" w:rsidRDefault="000F4C8D" w:rsidP="000F4C8D">
      <w:pPr>
        <w:numPr>
          <w:ilvl w:val="0"/>
          <w:numId w:val="7"/>
        </w:numPr>
        <w:jc w:val="both"/>
        <w:rPr>
          <w:sz w:val="22"/>
          <w:szCs w:val="22"/>
        </w:rPr>
      </w:pPr>
      <w:r w:rsidRPr="000F4C8D">
        <w:rPr>
          <w:b/>
          <w:bCs/>
          <w:sz w:val="22"/>
          <w:szCs w:val="22"/>
        </w:rPr>
        <w:t>Mitigating power asymmetries</w:t>
      </w:r>
      <w:r w:rsidRPr="000F4C8D">
        <w:rPr>
          <w:sz w:val="22"/>
          <w:szCs w:val="22"/>
        </w:rPr>
        <w:t>: Domains and indicators are grounded in diverse empirical sources, and participatory application is emphasised to broaden interpretive authority.</w:t>
      </w:r>
    </w:p>
    <w:p w14:paraId="6E8F7F67" w14:textId="7CC850BA" w:rsidR="000F4C8D" w:rsidRPr="000F4C8D" w:rsidRDefault="000F4C8D" w:rsidP="000F4C8D">
      <w:pPr>
        <w:numPr>
          <w:ilvl w:val="0"/>
          <w:numId w:val="7"/>
        </w:numPr>
        <w:jc w:val="both"/>
        <w:rPr>
          <w:sz w:val="22"/>
          <w:szCs w:val="22"/>
        </w:rPr>
      </w:pPr>
      <w:r w:rsidRPr="000F4C8D">
        <w:rPr>
          <w:b/>
          <w:bCs/>
          <w:sz w:val="22"/>
          <w:szCs w:val="22"/>
        </w:rPr>
        <w:t>Maintaining conceptual integrity</w:t>
      </w:r>
      <w:r w:rsidRPr="000F4C8D">
        <w:rPr>
          <w:sz w:val="22"/>
          <w:szCs w:val="22"/>
        </w:rPr>
        <w:t xml:space="preserve">: The framework does not treat principles as a compliance checklist but as evolving standards of reflection and practice. </w:t>
      </w:r>
    </w:p>
    <w:p w14:paraId="12178237" w14:textId="77777777" w:rsidR="000F4C8D" w:rsidRPr="000F4C8D" w:rsidRDefault="000F4C8D" w:rsidP="000F4C8D">
      <w:pPr>
        <w:jc w:val="both"/>
        <w:rPr>
          <w:b/>
          <w:bCs/>
          <w:sz w:val="22"/>
          <w:szCs w:val="22"/>
        </w:rPr>
      </w:pPr>
      <w:r w:rsidRPr="000F4C8D">
        <w:rPr>
          <w:b/>
          <w:bCs/>
          <w:sz w:val="22"/>
          <w:szCs w:val="22"/>
        </w:rPr>
        <w:t>Conclusion</w:t>
      </w:r>
    </w:p>
    <w:p w14:paraId="1AFA78A9" w14:textId="1A9C1AC7" w:rsidR="000F4C8D" w:rsidRPr="000F4C8D" w:rsidRDefault="000F4C8D" w:rsidP="000F4C8D">
      <w:pPr>
        <w:jc w:val="both"/>
        <w:rPr>
          <w:sz w:val="22"/>
          <w:szCs w:val="22"/>
        </w:rPr>
      </w:pPr>
      <w:r w:rsidRPr="000F4C8D">
        <w:rPr>
          <w:sz w:val="22"/>
          <w:szCs w:val="22"/>
        </w:rPr>
        <w:t>The Solidarity Profile framework represents a methodological effort to bridge qualitative insight and practical application in global health. By combining structured domains, plural indicators, and deliberative use, it provides a means of engaging decision-makers without compromising the relational, contextual, and plural nature of solidarity. In doing so, it contributes to addressing the broader challenge of translating complex social concepts into actionable yet non-reductive tools.</w:t>
      </w:r>
    </w:p>
    <w:p w14:paraId="4368AD0D" w14:textId="77777777" w:rsidR="000F4C8D" w:rsidRDefault="000F4C8D" w:rsidP="000F4C8D">
      <w:pPr>
        <w:jc w:val="both"/>
        <w:rPr>
          <w:b/>
          <w:bCs/>
        </w:rPr>
      </w:pPr>
    </w:p>
    <w:p w14:paraId="6B6E0311" w14:textId="77777777" w:rsidR="000F4C8D" w:rsidRDefault="000F4C8D" w:rsidP="000F4C8D">
      <w:pPr>
        <w:jc w:val="both"/>
        <w:rPr>
          <w:b/>
          <w:bCs/>
        </w:rPr>
      </w:pPr>
    </w:p>
    <w:p w14:paraId="2E518530" w14:textId="77777777" w:rsidR="000F4C8D" w:rsidRDefault="000F4C8D">
      <w:pPr>
        <w:rPr>
          <w:b/>
          <w:bCs/>
        </w:rPr>
      </w:pPr>
      <w:r>
        <w:rPr>
          <w:b/>
          <w:bCs/>
        </w:rPr>
        <w:br w:type="page"/>
      </w:r>
    </w:p>
    <w:p w14:paraId="734C9658" w14:textId="60BF84AB" w:rsidR="000F4C8D" w:rsidRDefault="000F4C8D" w:rsidP="000F4C8D">
      <w:pPr>
        <w:jc w:val="both"/>
      </w:pPr>
      <w:r>
        <w:rPr>
          <w:b/>
          <w:bCs/>
        </w:rPr>
        <w:lastRenderedPageBreak/>
        <w:t>Solidarity Profile Methodological Framework</w:t>
      </w:r>
    </w:p>
    <w:tbl>
      <w:tblPr>
        <w:tblW w:w="5000" w:type="pct"/>
        <w:tblCellMar>
          <w:top w:w="80" w:type="dxa"/>
          <w:left w:w="80" w:type="dxa"/>
          <w:bottom w:w="80" w:type="dxa"/>
          <w:right w:w="80" w:type="dxa"/>
        </w:tblCellMar>
        <w:tblLook w:val="04A0" w:firstRow="1" w:lastRow="0" w:firstColumn="1" w:lastColumn="0" w:noHBand="0" w:noVBand="1"/>
      </w:tblPr>
      <w:tblGrid>
        <w:gridCol w:w="1872"/>
        <w:gridCol w:w="5616"/>
        <w:gridCol w:w="1872"/>
      </w:tblGrid>
      <w:tr w:rsidR="000F4C8D" w14:paraId="2AB21BA9" w14:textId="77777777" w:rsidTr="000F4C8D">
        <w:tc>
          <w:tcPr>
            <w:tcW w:w="1000" w:type="pct"/>
            <w:vAlign w:val="center"/>
            <w:hideMark/>
          </w:tcPr>
          <w:p w14:paraId="28B8B11C" w14:textId="77777777" w:rsidR="000F4C8D" w:rsidRDefault="000F4C8D" w:rsidP="000F4C8D">
            <w:pPr>
              <w:jc w:val="both"/>
            </w:pPr>
          </w:p>
        </w:tc>
        <w:tc>
          <w:tcPr>
            <w:tcW w:w="3000" w:type="pct"/>
            <w:tcBorders>
              <w:top w:val="single" w:sz="12" w:space="0" w:color="2F5597"/>
              <w:left w:val="single" w:sz="12" w:space="0" w:color="2F5597"/>
              <w:bottom w:val="single" w:sz="12" w:space="0" w:color="2F5597"/>
              <w:right w:val="single" w:sz="12" w:space="0" w:color="2F5597"/>
            </w:tcBorders>
            <w:shd w:val="clear" w:color="auto" w:fill="D9EAF7"/>
            <w:vAlign w:val="center"/>
            <w:hideMark/>
          </w:tcPr>
          <w:p w14:paraId="506F4587" w14:textId="77777777" w:rsidR="000F4C8D" w:rsidRDefault="000F4C8D" w:rsidP="000F4C8D">
            <w:pPr>
              <w:rPr>
                <w:rFonts w:ascii="Aptos" w:hAnsi="Aptos" w:cs="Times New Roman"/>
              </w:rPr>
            </w:pPr>
            <w:r>
              <w:rPr>
                <w:b/>
                <w:bCs/>
              </w:rPr>
              <w:t>EMPIRICAL FOUNDATIONS</w:t>
            </w:r>
            <w:r>
              <w:br/>
              <w:t>(Workshops, interviews, data)</w:t>
            </w:r>
          </w:p>
        </w:tc>
        <w:tc>
          <w:tcPr>
            <w:tcW w:w="1000" w:type="pct"/>
            <w:vAlign w:val="center"/>
            <w:hideMark/>
          </w:tcPr>
          <w:p w14:paraId="57CB3B63" w14:textId="77777777" w:rsidR="000F4C8D" w:rsidRDefault="000F4C8D" w:rsidP="000F4C8D">
            <w:pPr>
              <w:jc w:val="both"/>
            </w:pPr>
          </w:p>
        </w:tc>
      </w:tr>
      <w:tr w:rsidR="000F4C8D" w14:paraId="20810162" w14:textId="77777777" w:rsidTr="000F4C8D">
        <w:tc>
          <w:tcPr>
            <w:tcW w:w="0" w:type="auto"/>
            <w:vAlign w:val="center"/>
            <w:hideMark/>
          </w:tcPr>
          <w:p w14:paraId="0DDBDBF1" w14:textId="77777777" w:rsidR="000F4C8D" w:rsidRDefault="000F4C8D" w:rsidP="000F4C8D">
            <w:pPr>
              <w:jc w:val="both"/>
            </w:pPr>
          </w:p>
        </w:tc>
        <w:tc>
          <w:tcPr>
            <w:tcW w:w="0" w:type="auto"/>
            <w:vAlign w:val="center"/>
            <w:hideMark/>
          </w:tcPr>
          <w:p w14:paraId="46917335" w14:textId="77777777" w:rsidR="000F4C8D" w:rsidRDefault="000F4C8D" w:rsidP="000F4C8D">
            <w:pPr>
              <w:jc w:val="center"/>
              <w:rPr>
                <w:rFonts w:ascii="Aptos" w:hAnsi="Aptos" w:cs="Times New Roman"/>
                <w:color w:val="2F5597"/>
              </w:rPr>
            </w:pPr>
            <w:r>
              <w:rPr>
                <w:color w:val="2F5597"/>
              </w:rPr>
              <w:t>↓</w:t>
            </w:r>
          </w:p>
        </w:tc>
        <w:tc>
          <w:tcPr>
            <w:tcW w:w="0" w:type="auto"/>
            <w:vAlign w:val="center"/>
            <w:hideMark/>
          </w:tcPr>
          <w:p w14:paraId="54FD9D1B" w14:textId="77777777" w:rsidR="000F4C8D" w:rsidRDefault="000F4C8D" w:rsidP="000F4C8D">
            <w:pPr>
              <w:jc w:val="both"/>
              <w:rPr>
                <w:color w:val="2F5597"/>
              </w:rPr>
            </w:pPr>
          </w:p>
        </w:tc>
      </w:tr>
      <w:tr w:rsidR="000F4C8D" w14:paraId="3A6E4079" w14:textId="77777777" w:rsidTr="000F4C8D">
        <w:tc>
          <w:tcPr>
            <w:tcW w:w="0" w:type="auto"/>
            <w:vAlign w:val="center"/>
            <w:hideMark/>
          </w:tcPr>
          <w:p w14:paraId="101EC7A6" w14:textId="77777777" w:rsidR="000F4C8D" w:rsidRDefault="000F4C8D" w:rsidP="000F4C8D">
            <w:pPr>
              <w:jc w:val="both"/>
            </w:pPr>
          </w:p>
        </w:tc>
        <w:tc>
          <w:tcPr>
            <w:tcW w:w="0" w:type="auto"/>
            <w:tcBorders>
              <w:top w:val="single" w:sz="12" w:space="0" w:color="2F5597"/>
              <w:left w:val="single" w:sz="12" w:space="0" w:color="2F5597"/>
              <w:bottom w:val="single" w:sz="12" w:space="0" w:color="2F5597"/>
              <w:right w:val="single" w:sz="12" w:space="0" w:color="2F5597"/>
            </w:tcBorders>
            <w:shd w:val="clear" w:color="auto" w:fill="EAF2F8"/>
            <w:vAlign w:val="center"/>
            <w:hideMark/>
          </w:tcPr>
          <w:p w14:paraId="07DDE3E1" w14:textId="77777777" w:rsidR="000F4C8D" w:rsidRDefault="000F4C8D" w:rsidP="000F4C8D">
            <w:pPr>
              <w:rPr>
                <w:rFonts w:ascii="Aptos" w:hAnsi="Aptos" w:cs="Times New Roman"/>
              </w:rPr>
            </w:pPr>
            <w:r>
              <w:rPr>
                <w:b/>
                <w:bCs/>
              </w:rPr>
              <w:t>SOLIDARITY PRINCIPLES</w:t>
            </w:r>
            <w:r>
              <w:br/>
              <w:t>(3–3–3 framework)</w:t>
            </w:r>
            <w:r>
              <w:br/>
              <w:t>WHAT | HOW | TO WHAT END</w:t>
            </w:r>
          </w:p>
        </w:tc>
        <w:tc>
          <w:tcPr>
            <w:tcW w:w="0" w:type="auto"/>
            <w:vAlign w:val="center"/>
            <w:hideMark/>
          </w:tcPr>
          <w:p w14:paraId="667BE788" w14:textId="77777777" w:rsidR="000F4C8D" w:rsidRDefault="000F4C8D" w:rsidP="000F4C8D">
            <w:pPr>
              <w:jc w:val="both"/>
            </w:pPr>
          </w:p>
        </w:tc>
      </w:tr>
      <w:tr w:rsidR="000F4C8D" w14:paraId="04EB5449" w14:textId="77777777" w:rsidTr="000F4C8D">
        <w:tc>
          <w:tcPr>
            <w:tcW w:w="0" w:type="auto"/>
            <w:vAlign w:val="center"/>
            <w:hideMark/>
          </w:tcPr>
          <w:p w14:paraId="32AC234C" w14:textId="77777777" w:rsidR="000F4C8D" w:rsidRDefault="000F4C8D" w:rsidP="000F4C8D">
            <w:pPr>
              <w:jc w:val="both"/>
            </w:pPr>
          </w:p>
        </w:tc>
        <w:tc>
          <w:tcPr>
            <w:tcW w:w="0" w:type="auto"/>
            <w:vAlign w:val="center"/>
            <w:hideMark/>
          </w:tcPr>
          <w:p w14:paraId="10D2DD13" w14:textId="77777777" w:rsidR="000F4C8D" w:rsidRDefault="000F4C8D" w:rsidP="000F4C8D">
            <w:pPr>
              <w:jc w:val="center"/>
              <w:rPr>
                <w:rFonts w:ascii="Aptos" w:hAnsi="Aptos" w:cs="Times New Roman"/>
                <w:color w:val="2F5597"/>
              </w:rPr>
            </w:pPr>
            <w:r>
              <w:rPr>
                <w:color w:val="2F5597"/>
              </w:rPr>
              <w:t>↓</w:t>
            </w:r>
          </w:p>
        </w:tc>
        <w:tc>
          <w:tcPr>
            <w:tcW w:w="0" w:type="auto"/>
            <w:vAlign w:val="center"/>
            <w:hideMark/>
          </w:tcPr>
          <w:p w14:paraId="0477D9CE" w14:textId="77777777" w:rsidR="000F4C8D" w:rsidRDefault="000F4C8D" w:rsidP="000F4C8D">
            <w:pPr>
              <w:jc w:val="both"/>
              <w:rPr>
                <w:color w:val="2F5597"/>
              </w:rPr>
            </w:pPr>
          </w:p>
        </w:tc>
      </w:tr>
      <w:tr w:rsidR="000F4C8D" w14:paraId="597F2749" w14:textId="77777777" w:rsidTr="000F4C8D">
        <w:tc>
          <w:tcPr>
            <w:tcW w:w="0" w:type="auto"/>
            <w:vAlign w:val="center"/>
            <w:hideMark/>
          </w:tcPr>
          <w:p w14:paraId="530D1A95" w14:textId="77777777" w:rsidR="000F4C8D" w:rsidRDefault="000F4C8D" w:rsidP="000F4C8D">
            <w:pPr>
              <w:jc w:val="both"/>
            </w:pPr>
          </w:p>
        </w:tc>
        <w:tc>
          <w:tcPr>
            <w:tcW w:w="0" w:type="auto"/>
            <w:tcBorders>
              <w:top w:val="single" w:sz="12" w:space="0" w:color="2F5597"/>
              <w:left w:val="single" w:sz="12" w:space="0" w:color="2F5597"/>
              <w:bottom w:val="single" w:sz="12" w:space="0" w:color="2F5597"/>
              <w:right w:val="single" w:sz="12" w:space="0" w:color="2F5597"/>
            </w:tcBorders>
            <w:shd w:val="clear" w:color="auto" w:fill="D9EAD3"/>
            <w:vAlign w:val="center"/>
            <w:hideMark/>
          </w:tcPr>
          <w:p w14:paraId="38C1AA75" w14:textId="77777777" w:rsidR="000F4C8D" w:rsidRDefault="000F4C8D" w:rsidP="000F4C8D">
            <w:pPr>
              <w:rPr>
                <w:rFonts w:ascii="Aptos" w:hAnsi="Aptos" w:cs="Times New Roman"/>
              </w:rPr>
            </w:pPr>
            <w:r>
              <w:rPr>
                <w:b/>
                <w:bCs/>
              </w:rPr>
              <w:t>ANALYTICAL DOMAINS</w:t>
            </w:r>
            <w:r>
              <w:br/>
              <w:t>Power, inclusion, mutuality, equity, action</w:t>
            </w:r>
          </w:p>
        </w:tc>
        <w:tc>
          <w:tcPr>
            <w:tcW w:w="0" w:type="auto"/>
            <w:vAlign w:val="center"/>
            <w:hideMark/>
          </w:tcPr>
          <w:p w14:paraId="78B52CA8" w14:textId="77777777" w:rsidR="000F4C8D" w:rsidRDefault="000F4C8D" w:rsidP="000F4C8D">
            <w:pPr>
              <w:jc w:val="both"/>
            </w:pPr>
          </w:p>
        </w:tc>
      </w:tr>
      <w:tr w:rsidR="000F4C8D" w14:paraId="17328D4B" w14:textId="77777777" w:rsidTr="000F4C8D">
        <w:tc>
          <w:tcPr>
            <w:tcW w:w="0" w:type="auto"/>
            <w:vAlign w:val="center"/>
            <w:hideMark/>
          </w:tcPr>
          <w:p w14:paraId="7E12F7E7" w14:textId="77777777" w:rsidR="000F4C8D" w:rsidRDefault="000F4C8D" w:rsidP="000F4C8D">
            <w:pPr>
              <w:jc w:val="both"/>
            </w:pPr>
          </w:p>
        </w:tc>
        <w:tc>
          <w:tcPr>
            <w:tcW w:w="0" w:type="auto"/>
            <w:vAlign w:val="center"/>
            <w:hideMark/>
          </w:tcPr>
          <w:p w14:paraId="38BD57B3" w14:textId="77777777" w:rsidR="000F4C8D" w:rsidRDefault="000F4C8D" w:rsidP="000F4C8D">
            <w:pPr>
              <w:jc w:val="center"/>
              <w:rPr>
                <w:rFonts w:ascii="Aptos" w:hAnsi="Aptos" w:cs="Times New Roman"/>
                <w:color w:val="2F5597"/>
              </w:rPr>
            </w:pPr>
            <w:r>
              <w:rPr>
                <w:color w:val="2F5597"/>
              </w:rPr>
              <w:t>↓</w:t>
            </w:r>
          </w:p>
        </w:tc>
        <w:tc>
          <w:tcPr>
            <w:tcW w:w="0" w:type="auto"/>
            <w:vAlign w:val="center"/>
            <w:hideMark/>
          </w:tcPr>
          <w:p w14:paraId="52DA2E64" w14:textId="77777777" w:rsidR="000F4C8D" w:rsidRDefault="000F4C8D" w:rsidP="000F4C8D">
            <w:pPr>
              <w:jc w:val="both"/>
              <w:rPr>
                <w:color w:val="2F5597"/>
              </w:rPr>
            </w:pPr>
          </w:p>
        </w:tc>
      </w:tr>
      <w:tr w:rsidR="000F4C8D" w14:paraId="6D4AA956" w14:textId="77777777" w:rsidTr="000F4C8D">
        <w:tc>
          <w:tcPr>
            <w:tcW w:w="0" w:type="auto"/>
            <w:vAlign w:val="center"/>
            <w:hideMark/>
          </w:tcPr>
          <w:p w14:paraId="09633D5B" w14:textId="77777777" w:rsidR="000F4C8D" w:rsidRDefault="000F4C8D" w:rsidP="000F4C8D">
            <w:pPr>
              <w:jc w:val="both"/>
            </w:pPr>
          </w:p>
        </w:tc>
        <w:tc>
          <w:tcPr>
            <w:tcW w:w="0" w:type="auto"/>
            <w:tcBorders>
              <w:top w:val="single" w:sz="12" w:space="0" w:color="2F5597"/>
              <w:left w:val="single" w:sz="12" w:space="0" w:color="2F5597"/>
              <w:bottom w:val="single" w:sz="12" w:space="0" w:color="2F5597"/>
              <w:right w:val="single" w:sz="12" w:space="0" w:color="2F5597"/>
            </w:tcBorders>
            <w:shd w:val="clear" w:color="auto" w:fill="FFF2CC"/>
            <w:vAlign w:val="center"/>
            <w:hideMark/>
          </w:tcPr>
          <w:p w14:paraId="3F358DFF" w14:textId="77777777" w:rsidR="000F4C8D" w:rsidRDefault="000F4C8D" w:rsidP="000F4C8D">
            <w:pPr>
              <w:rPr>
                <w:rFonts w:ascii="Aptos" w:hAnsi="Aptos" w:cs="Times New Roman"/>
              </w:rPr>
            </w:pPr>
            <w:r>
              <w:rPr>
                <w:b/>
                <w:bCs/>
              </w:rPr>
              <w:t>PLURAL INDICATORS</w:t>
            </w:r>
            <w:r>
              <w:br/>
              <w:t>Context-sensitive, non-universal prompts</w:t>
            </w:r>
          </w:p>
        </w:tc>
        <w:tc>
          <w:tcPr>
            <w:tcW w:w="0" w:type="auto"/>
            <w:vAlign w:val="center"/>
            <w:hideMark/>
          </w:tcPr>
          <w:p w14:paraId="0495437C" w14:textId="77777777" w:rsidR="000F4C8D" w:rsidRDefault="000F4C8D" w:rsidP="000F4C8D">
            <w:pPr>
              <w:jc w:val="both"/>
            </w:pPr>
          </w:p>
        </w:tc>
      </w:tr>
      <w:tr w:rsidR="000F4C8D" w14:paraId="76C41453" w14:textId="77777777" w:rsidTr="000F4C8D">
        <w:tc>
          <w:tcPr>
            <w:tcW w:w="0" w:type="auto"/>
            <w:vAlign w:val="center"/>
            <w:hideMark/>
          </w:tcPr>
          <w:p w14:paraId="644F3868" w14:textId="77777777" w:rsidR="000F4C8D" w:rsidRDefault="000F4C8D" w:rsidP="000F4C8D">
            <w:pPr>
              <w:jc w:val="both"/>
            </w:pPr>
          </w:p>
        </w:tc>
        <w:tc>
          <w:tcPr>
            <w:tcW w:w="0" w:type="auto"/>
            <w:vAlign w:val="center"/>
            <w:hideMark/>
          </w:tcPr>
          <w:p w14:paraId="4E33EAD6" w14:textId="77777777" w:rsidR="000F4C8D" w:rsidRDefault="000F4C8D" w:rsidP="000F4C8D">
            <w:pPr>
              <w:jc w:val="center"/>
              <w:rPr>
                <w:rFonts w:ascii="Aptos" w:hAnsi="Aptos" w:cs="Times New Roman"/>
                <w:color w:val="2F5597"/>
              </w:rPr>
            </w:pPr>
            <w:r>
              <w:rPr>
                <w:color w:val="2F5597"/>
              </w:rPr>
              <w:t>↓</w:t>
            </w:r>
          </w:p>
        </w:tc>
        <w:tc>
          <w:tcPr>
            <w:tcW w:w="0" w:type="auto"/>
            <w:vAlign w:val="center"/>
            <w:hideMark/>
          </w:tcPr>
          <w:p w14:paraId="38C4F3A7" w14:textId="77777777" w:rsidR="000F4C8D" w:rsidRDefault="000F4C8D" w:rsidP="000F4C8D">
            <w:pPr>
              <w:jc w:val="both"/>
              <w:rPr>
                <w:color w:val="2F5597"/>
              </w:rPr>
            </w:pPr>
          </w:p>
        </w:tc>
      </w:tr>
      <w:tr w:rsidR="000F4C8D" w14:paraId="1F535327" w14:textId="77777777" w:rsidTr="000F4C8D">
        <w:tc>
          <w:tcPr>
            <w:tcW w:w="0" w:type="auto"/>
            <w:vAlign w:val="center"/>
            <w:hideMark/>
          </w:tcPr>
          <w:p w14:paraId="5B4C9901" w14:textId="77777777" w:rsidR="000F4C8D" w:rsidRDefault="000F4C8D" w:rsidP="000F4C8D">
            <w:pPr>
              <w:jc w:val="both"/>
            </w:pPr>
          </w:p>
        </w:tc>
        <w:tc>
          <w:tcPr>
            <w:tcW w:w="0" w:type="auto"/>
            <w:tcBorders>
              <w:top w:val="single" w:sz="12" w:space="0" w:color="2F5597"/>
              <w:left w:val="single" w:sz="12" w:space="0" w:color="2F5597"/>
              <w:bottom w:val="single" w:sz="12" w:space="0" w:color="2F5597"/>
              <w:right w:val="single" w:sz="12" w:space="0" w:color="2F5597"/>
            </w:tcBorders>
            <w:shd w:val="clear" w:color="auto" w:fill="FCE4D6"/>
            <w:vAlign w:val="center"/>
            <w:hideMark/>
          </w:tcPr>
          <w:p w14:paraId="2496A816" w14:textId="77777777" w:rsidR="000F4C8D" w:rsidRDefault="000F4C8D" w:rsidP="000F4C8D">
            <w:pPr>
              <w:rPr>
                <w:rFonts w:ascii="Aptos" w:hAnsi="Aptos" w:cs="Times New Roman"/>
              </w:rPr>
            </w:pPr>
            <w:r>
              <w:rPr>
                <w:b/>
                <w:bCs/>
              </w:rPr>
              <w:t>SOLIDARITY PROFILE</w:t>
            </w:r>
            <w:r>
              <w:br/>
              <w:t>Multi-dimensional mapping; not a single score</w:t>
            </w:r>
          </w:p>
        </w:tc>
        <w:tc>
          <w:tcPr>
            <w:tcW w:w="0" w:type="auto"/>
            <w:vAlign w:val="center"/>
            <w:hideMark/>
          </w:tcPr>
          <w:p w14:paraId="42BB1CF9" w14:textId="77777777" w:rsidR="000F4C8D" w:rsidRDefault="000F4C8D" w:rsidP="000F4C8D">
            <w:pPr>
              <w:jc w:val="both"/>
            </w:pPr>
          </w:p>
        </w:tc>
      </w:tr>
      <w:tr w:rsidR="000F4C8D" w14:paraId="3433013F" w14:textId="77777777" w:rsidTr="000F4C8D">
        <w:tc>
          <w:tcPr>
            <w:tcW w:w="0" w:type="auto"/>
            <w:vAlign w:val="center"/>
            <w:hideMark/>
          </w:tcPr>
          <w:p w14:paraId="5AA9B8B6" w14:textId="77777777" w:rsidR="000F4C8D" w:rsidRDefault="000F4C8D" w:rsidP="000F4C8D">
            <w:pPr>
              <w:jc w:val="both"/>
            </w:pPr>
          </w:p>
        </w:tc>
        <w:tc>
          <w:tcPr>
            <w:tcW w:w="0" w:type="auto"/>
            <w:vAlign w:val="center"/>
            <w:hideMark/>
          </w:tcPr>
          <w:p w14:paraId="3C200B23" w14:textId="77777777" w:rsidR="000F4C8D" w:rsidRDefault="000F4C8D" w:rsidP="000F4C8D">
            <w:pPr>
              <w:jc w:val="center"/>
              <w:rPr>
                <w:rFonts w:ascii="Aptos" w:hAnsi="Aptos" w:cs="Times New Roman"/>
                <w:color w:val="2F5597"/>
              </w:rPr>
            </w:pPr>
            <w:r>
              <w:rPr>
                <w:color w:val="2F5597"/>
              </w:rPr>
              <w:t>↓</w:t>
            </w:r>
          </w:p>
        </w:tc>
        <w:tc>
          <w:tcPr>
            <w:tcW w:w="0" w:type="auto"/>
            <w:vAlign w:val="center"/>
            <w:hideMark/>
          </w:tcPr>
          <w:p w14:paraId="34582292" w14:textId="77777777" w:rsidR="000F4C8D" w:rsidRDefault="000F4C8D" w:rsidP="000F4C8D">
            <w:pPr>
              <w:jc w:val="both"/>
              <w:rPr>
                <w:color w:val="2F5597"/>
              </w:rPr>
            </w:pPr>
          </w:p>
        </w:tc>
      </w:tr>
      <w:tr w:rsidR="000F4C8D" w14:paraId="277276B7" w14:textId="77777777" w:rsidTr="000F4C8D">
        <w:tc>
          <w:tcPr>
            <w:tcW w:w="0" w:type="auto"/>
            <w:vAlign w:val="center"/>
            <w:hideMark/>
          </w:tcPr>
          <w:p w14:paraId="23C3AF4C" w14:textId="77777777" w:rsidR="000F4C8D" w:rsidRDefault="000F4C8D" w:rsidP="000F4C8D">
            <w:pPr>
              <w:jc w:val="both"/>
            </w:pPr>
          </w:p>
        </w:tc>
        <w:tc>
          <w:tcPr>
            <w:tcW w:w="0" w:type="auto"/>
            <w:tcBorders>
              <w:top w:val="single" w:sz="12" w:space="0" w:color="2F5597"/>
              <w:left w:val="single" w:sz="12" w:space="0" w:color="2F5597"/>
              <w:bottom w:val="single" w:sz="12" w:space="0" w:color="2F5597"/>
              <w:right w:val="single" w:sz="12" w:space="0" w:color="2F5597"/>
            </w:tcBorders>
            <w:shd w:val="clear" w:color="auto" w:fill="E4DFEC"/>
            <w:vAlign w:val="center"/>
            <w:hideMark/>
          </w:tcPr>
          <w:p w14:paraId="2528AF2F" w14:textId="77777777" w:rsidR="000F4C8D" w:rsidRDefault="000F4C8D" w:rsidP="000F4C8D">
            <w:pPr>
              <w:rPr>
                <w:rFonts w:ascii="Aptos" w:hAnsi="Aptos" w:cs="Times New Roman"/>
              </w:rPr>
            </w:pPr>
            <w:r>
              <w:rPr>
                <w:b/>
                <w:bCs/>
              </w:rPr>
              <w:t>DELIBERATIVE APPLICATION</w:t>
            </w:r>
            <w:r>
              <w:br/>
              <w:t>Reflection, dialogue, decision-making</w:t>
            </w:r>
          </w:p>
        </w:tc>
        <w:tc>
          <w:tcPr>
            <w:tcW w:w="0" w:type="auto"/>
            <w:vAlign w:val="center"/>
            <w:hideMark/>
          </w:tcPr>
          <w:p w14:paraId="24D556DF" w14:textId="77777777" w:rsidR="000F4C8D" w:rsidRDefault="000F4C8D" w:rsidP="000F4C8D">
            <w:pPr>
              <w:jc w:val="both"/>
            </w:pPr>
          </w:p>
        </w:tc>
      </w:tr>
      <w:tr w:rsidR="000F4C8D" w14:paraId="6DF16ED7" w14:textId="77777777" w:rsidTr="000F4C8D">
        <w:tc>
          <w:tcPr>
            <w:tcW w:w="0" w:type="auto"/>
            <w:vAlign w:val="center"/>
            <w:hideMark/>
          </w:tcPr>
          <w:p w14:paraId="6D410BD1" w14:textId="77777777" w:rsidR="000F4C8D" w:rsidRDefault="000F4C8D" w:rsidP="000F4C8D">
            <w:pPr>
              <w:jc w:val="both"/>
            </w:pPr>
          </w:p>
        </w:tc>
        <w:tc>
          <w:tcPr>
            <w:tcW w:w="0" w:type="auto"/>
            <w:vAlign w:val="center"/>
            <w:hideMark/>
          </w:tcPr>
          <w:p w14:paraId="736F39BF" w14:textId="77777777" w:rsidR="000F4C8D" w:rsidRDefault="000F4C8D" w:rsidP="000F4C8D">
            <w:pPr>
              <w:jc w:val="center"/>
              <w:rPr>
                <w:rFonts w:ascii="Aptos" w:hAnsi="Aptos" w:cs="Times New Roman"/>
                <w:color w:val="2F5597"/>
              </w:rPr>
            </w:pPr>
            <w:r>
              <w:rPr>
                <w:color w:val="2F5597"/>
              </w:rPr>
              <w:t>↓</w:t>
            </w:r>
          </w:p>
        </w:tc>
        <w:tc>
          <w:tcPr>
            <w:tcW w:w="0" w:type="auto"/>
            <w:vAlign w:val="center"/>
            <w:hideMark/>
          </w:tcPr>
          <w:p w14:paraId="0D075917" w14:textId="77777777" w:rsidR="000F4C8D" w:rsidRDefault="000F4C8D" w:rsidP="000F4C8D">
            <w:pPr>
              <w:jc w:val="both"/>
              <w:rPr>
                <w:color w:val="2F5597"/>
              </w:rPr>
            </w:pPr>
          </w:p>
        </w:tc>
      </w:tr>
      <w:tr w:rsidR="000F4C8D" w14:paraId="000B8257" w14:textId="77777777" w:rsidTr="000F4C8D">
        <w:tc>
          <w:tcPr>
            <w:tcW w:w="0" w:type="auto"/>
            <w:vAlign w:val="center"/>
            <w:hideMark/>
          </w:tcPr>
          <w:p w14:paraId="623623BE" w14:textId="77777777" w:rsidR="000F4C8D" w:rsidRDefault="000F4C8D" w:rsidP="000F4C8D">
            <w:pPr>
              <w:jc w:val="both"/>
            </w:pPr>
          </w:p>
        </w:tc>
        <w:tc>
          <w:tcPr>
            <w:tcW w:w="0" w:type="auto"/>
            <w:tcBorders>
              <w:top w:val="single" w:sz="12" w:space="0" w:color="548235"/>
              <w:left w:val="single" w:sz="12" w:space="0" w:color="548235"/>
              <w:bottom w:val="single" w:sz="12" w:space="0" w:color="548235"/>
              <w:right w:val="single" w:sz="12" w:space="0" w:color="548235"/>
            </w:tcBorders>
            <w:shd w:val="clear" w:color="auto" w:fill="E2F0D9"/>
            <w:vAlign w:val="center"/>
            <w:hideMark/>
          </w:tcPr>
          <w:p w14:paraId="520610C1" w14:textId="77777777" w:rsidR="000F4C8D" w:rsidRDefault="000F4C8D" w:rsidP="000F4C8D">
            <w:pPr>
              <w:rPr>
                <w:rFonts w:ascii="Aptos" w:hAnsi="Aptos" w:cs="Times New Roman"/>
              </w:rPr>
            </w:pPr>
            <w:r>
              <w:rPr>
                <w:b/>
                <w:bCs/>
              </w:rPr>
              <w:t>OUTPUT</w:t>
            </w:r>
            <w:r>
              <w:br/>
              <w:t>Context-sensitive, non-reductive decision-support insight</w:t>
            </w:r>
          </w:p>
        </w:tc>
        <w:tc>
          <w:tcPr>
            <w:tcW w:w="0" w:type="auto"/>
            <w:vAlign w:val="center"/>
            <w:hideMark/>
          </w:tcPr>
          <w:p w14:paraId="4DBDA90F" w14:textId="77777777" w:rsidR="000F4C8D" w:rsidRDefault="000F4C8D" w:rsidP="000F4C8D">
            <w:pPr>
              <w:jc w:val="both"/>
            </w:pPr>
          </w:p>
        </w:tc>
      </w:tr>
    </w:tbl>
    <w:p w14:paraId="09F036B8" w14:textId="086F5FF4" w:rsidR="000F4C8D" w:rsidRPr="000F4C8D" w:rsidRDefault="000F4C8D" w:rsidP="000F4C8D">
      <w:pPr>
        <w:jc w:val="both"/>
        <w:rPr>
          <w:sz w:val="22"/>
          <w:szCs w:val="22"/>
        </w:rPr>
      </w:pPr>
    </w:p>
    <w:sectPr w:rsidR="000F4C8D" w:rsidRPr="000F4C8D" w:rsidSect="000F4C8D">
      <w:pgSz w:w="12240" w:h="15840"/>
      <w:pgMar w:top="13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87DE1"/>
    <w:multiLevelType w:val="multilevel"/>
    <w:tmpl w:val="C44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278DC"/>
    <w:multiLevelType w:val="multilevel"/>
    <w:tmpl w:val="A19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822B2"/>
    <w:multiLevelType w:val="multilevel"/>
    <w:tmpl w:val="74CC2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5D104E"/>
    <w:multiLevelType w:val="multilevel"/>
    <w:tmpl w:val="40A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873BD"/>
    <w:multiLevelType w:val="multilevel"/>
    <w:tmpl w:val="E44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A138E"/>
    <w:multiLevelType w:val="multilevel"/>
    <w:tmpl w:val="CB1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72E62"/>
    <w:multiLevelType w:val="multilevel"/>
    <w:tmpl w:val="62F6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298604">
    <w:abstractNumId w:val="3"/>
  </w:num>
  <w:num w:numId="2" w16cid:durableId="1856187781">
    <w:abstractNumId w:val="4"/>
  </w:num>
  <w:num w:numId="3" w16cid:durableId="173375484">
    <w:abstractNumId w:val="6"/>
  </w:num>
  <w:num w:numId="4" w16cid:durableId="1058019487">
    <w:abstractNumId w:val="0"/>
  </w:num>
  <w:num w:numId="5" w16cid:durableId="1874267279">
    <w:abstractNumId w:val="1"/>
  </w:num>
  <w:num w:numId="6" w16cid:durableId="381440717">
    <w:abstractNumId w:val="5"/>
  </w:num>
  <w:num w:numId="7" w16cid:durableId="1694114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8D"/>
    <w:rsid w:val="000F4C8D"/>
    <w:rsid w:val="00247C60"/>
    <w:rsid w:val="002C175E"/>
    <w:rsid w:val="00E90397"/>
    <w:rsid w:val="00EF7AA9"/>
    <w:rsid w:val="00F83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32FC"/>
  <w15:chartTrackingRefBased/>
  <w15:docId w15:val="{B2193C1E-F7C2-4767-B32B-07BA0B12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C8D"/>
    <w:rPr>
      <w:rFonts w:eastAsiaTheme="majorEastAsia" w:cstheme="majorBidi"/>
      <w:color w:val="272727" w:themeColor="text1" w:themeTint="D8"/>
    </w:rPr>
  </w:style>
  <w:style w:type="paragraph" w:styleId="Title">
    <w:name w:val="Title"/>
    <w:basedOn w:val="Normal"/>
    <w:next w:val="Normal"/>
    <w:link w:val="TitleChar"/>
    <w:uiPriority w:val="10"/>
    <w:qFormat/>
    <w:rsid w:val="000F4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C8D"/>
    <w:pPr>
      <w:spacing w:before="160"/>
      <w:jc w:val="center"/>
    </w:pPr>
    <w:rPr>
      <w:i/>
      <w:iCs/>
      <w:color w:val="404040" w:themeColor="text1" w:themeTint="BF"/>
    </w:rPr>
  </w:style>
  <w:style w:type="character" w:customStyle="1" w:styleId="QuoteChar">
    <w:name w:val="Quote Char"/>
    <w:basedOn w:val="DefaultParagraphFont"/>
    <w:link w:val="Quote"/>
    <w:uiPriority w:val="29"/>
    <w:rsid w:val="000F4C8D"/>
    <w:rPr>
      <w:i/>
      <w:iCs/>
      <w:color w:val="404040" w:themeColor="text1" w:themeTint="BF"/>
    </w:rPr>
  </w:style>
  <w:style w:type="paragraph" w:styleId="ListParagraph">
    <w:name w:val="List Paragraph"/>
    <w:basedOn w:val="Normal"/>
    <w:uiPriority w:val="34"/>
    <w:qFormat/>
    <w:rsid w:val="000F4C8D"/>
    <w:pPr>
      <w:ind w:left="720"/>
      <w:contextualSpacing/>
    </w:pPr>
  </w:style>
  <w:style w:type="character" w:styleId="IntenseEmphasis">
    <w:name w:val="Intense Emphasis"/>
    <w:basedOn w:val="DefaultParagraphFont"/>
    <w:uiPriority w:val="21"/>
    <w:qFormat/>
    <w:rsid w:val="000F4C8D"/>
    <w:rPr>
      <w:i/>
      <w:iCs/>
      <w:color w:val="0F4761" w:themeColor="accent1" w:themeShade="BF"/>
    </w:rPr>
  </w:style>
  <w:style w:type="paragraph" w:styleId="IntenseQuote">
    <w:name w:val="Intense Quote"/>
    <w:basedOn w:val="Normal"/>
    <w:next w:val="Normal"/>
    <w:link w:val="IntenseQuoteChar"/>
    <w:uiPriority w:val="30"/>
    <w:qFormat/>
    <w:rsid w:val="000F4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C8D"/>
    <w:rPr>
      <w:i/>
      <w:iCs/>
      <w:color w:val="0F4761" w:themeColor="accent1" w:themeShade="BF"/>
    </w:rPr>
  </w:style>
  <w:style w:type="character" w:styleId="IntenseReference">
    <w:name w:val="Intense Reference"/>
    <w:basedOn w:val="DefaultParagraphFont"/>
    <w:uiPriority w:val="32"/>
    <w:qFormat/>
    <w:rsid w:val="000F4C8D"/>
    <w:rPr>
      <w:b/>
      <w:bCs/>
      <w:smallCaps/>
      <w:color w:val="0F4761" w:themeColor="accent1" w:themeShade="BF"/>
      <w:spacing w:val="5"/>
    </w:rPr>
  </w:style>
  <w:style w:type="character" w:styleId="Hyperlink">
    <w:name w:val="Hyperlink"/>
    <w:basedOn w:val="DefaultParagraphFont"/>
    <w:uiPriority w:val="99"/>
    <w:unhideWhenUsed/>
    <w:rsid w:val="000F4C8D"/>
    <w:rPr>
      <w:color w:val="467886" w:themeColor="hyperlink"/>
      <w:u w:val="single"/>
    </w:rPr>
  </w:style>
  <w:style w:type="character" w:styleId="UnresolvedMention">
    <w:name w:val="Unresolved Mention"/>
    <w:basedOn w:val="DefaultParagraphFont"/>
    <w:uiPriority w:val="99"/>
    <w:semiHidden/>
    <w:unhideWhenUsed/>
    <w:rsid w:val="000F4C8D"/>
    <w:rPr>
      <w:color w:val="605E5C"/>
      <w:shd w:val="clear" w:color="auto" w:fill="E1DFDD"/>
    </w:rPr>
  </w:style>
  <w:style w:type="paragraph" w:styleId="NormalWeb">
    <w:name w:val="Normal (Web)"/>
    <w:basedOn w:val="Normal"/>
    <w:uiPriority w:val="99"/>
    <w:semiHidden/>
    <w:unhideWhenUsed/>
    <w:rsid w:val="000F4C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1382</Words>
  <Characters>9391</Characters>
  <Application>Microsoft Office Word</Application>
  <DocSecurity>0</DocSecurity>
  <Lines>187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Ongboche</dc:creator>
  <cp:keywords/>
  <dc:description/>
  <cp:lastModifiedBy>Paul Ongboche</cp:lastModifiedBy>
  <cp:revision>1</cp:revision>
  <dcterms:created xsi:type="dcterms:W3CDTF">2026-06-17T12:31:00Z</dcterms:created>
  <dcterms:modified xsi:type="dcterms:W3CDTF">2026-06-18T09:07:00Z</dcterms:modified>
</cp:coreProperties>
</file>