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88" w:lineRule="auto"/>
        <w:jc w:val="center"/>
      </w:pPr>
      <w:r>
        <w:rPr>
          <w:rFonts w:ascii="Times New Roman" w:hAnsi="Times New Roman"/>
          <w:b/>
          <w:i w:val="0"/>
          <w:color w:val="111827"/>
          <w:sz w:val="36"/>
        </w:rPr>
        <w:t>GALGOTIAS UNIVERSITY</w:t>
      </w:r>
    </w:p>
    <w:p>
      <w:pPr>
        <w:spacing w:after="360" w:before="0" w:line="288" w:lineRule="auto"/>
        <w:jc w:val="center"/>
      </w:pPr>
      <w:r>
        <w:rPr>
          <w:rFonts w:ascii="Times New Roman" w:hAnsi="Times New Roman"/>
          <w:b/>
          <w:i w:val="0"/>
          <w:color w:val="111827"/>
          <w:sz w:val="26"/>
        </w:rPr>
        <w:t>SCHOOL OF COMPUTER SCIENCE &amp; ENGINEERING</w:t>
      </w:r>
    </w:p>
    <w:p>
      <w:pPr>
        <w:spacing w:after="400" w:before="0" w:line="288" w:lineRule="auto"/>
        <w:jc w:val="center"/>
      </w:pPr>
      <w:r>
        <w:rPr>
          <w:rFonts w:ascii="Times New Roman" w:hAnsi="Times New Roman"/>
          <w:b w:val="0"/>
          <w:i/>
          <w:color w:val="475569"/>
          <w:sz w:val="22"/>
        </w:rPr>
        <w:t>[INSERT OFFICIAL GALGOTIAS UNIVERSITY LOGO]</w:t>
      </w:r>
    </w:p>
    <w:p>
      <w:pPr>
        <w:spacing w:after="80" w:before="0" w:line="288" w:lineRule="auto"/>
        <w:jc w:val="center"/>
      </w:pPr>
      <w:r>
        <w:rPr>
          <w:rFonts w:ascii="Times New Roman" w:hAnsi="Times New Roman"/>
          <w:b/>
          <w:i w:val="0"/>
          <w:color w:val="111827"/>
          <w:sz w:val="30"/>
        </w:rPr>
        <w:t>INTERIM PROJECT REPORT-I</w:t>
      </w:r>
    </w:p>
    <w:p>
      <w:pPr>
        <w:spacing w:after="120" w:before="0" w:line="288" w:lineRule="auto"/>
        <w:jc w:val="center"/>
      </w:pPr>
      <w:r>
        <w:rPr>
          <w:rFonts w:ascii="Times New Roman" w:hAnsi="Times New Roman"/>
          <w:b w:val="0"/>
          <w:i/>
          <w:color w:val="111827"/>
          <w:sz w:val="24"/>
        </w:rPr>
        <w:t>on</w:t>
      </w:r>
    </w:p>
    <w:p>
      <w:pPr>
        <w:spacing w:after="40" w:before="0" w:line="288" w:lineRule="auto"/>
        <w:jc w:val="center"/>
      </w:pPr>
      <w:r>
        <w:rPr>
          <w:rFonts w:ascii="Times New Roman" w:hAnsi="Times New Roman"/>
          <w:b/>
          <w:i w:val="0"/>
          <w:color w:val="0284C7"/>
          <w:sz w:val="30"/>
        </w:rPr>
        <w:t>ANVESH: Cyber Forensic Intelligence &amp; Email Threat Detection Platform</w:t>
      </w:r>
    </w:p>
    <w:p>
      <w:pPr>
        <w:spacing w:after="360" w:before="0" w:line="288" w:lineRule="auto"/>
        <w:jc w:val="center"/>
      </w:pPr>
      <w:r>
        <w:rPr>
          <w:rFonts w:ascii="Times New Roman" w:hAnsi="Times New Roman"/>
          <w:b w:val="0"/>
          <w:i/>
          <w:color w:val="475569"/>
          <w:sz w:val="21"/>
        </w:rPr>
        <w:t>(Aligned with Smart India Hackathon 2026 Problem Statement SIH26106)</w:t>
      </w:r>
    </w:p>
    <w:p>
      <w:pPr>
        <w:spacing w:after="40" w:before="0" w:line="288" w:lineRule="auto"/>
        <w:jc w:val="center"/>
      </w:pPr>
      <w:r>
        <w:rPr>
          <w:rFonts w:ascii="Times New Roman" w:hAnsi="Times New Roman"/>
          <w:b w:val="0"/>
          <w:i/>
          <w:color w:val="111827"/>
          <w:sz w:val="22"/>
        </w:rPr>
        <w:t>Submitted in partial fulfillment for the award of</w:t>
      </w:r>
    </w:p>
    <w:p>
      <w:pPr>
        <w:spacing w:after="40" w:before="0" w:line="288" w:lineRule="auto"/>
        <w:jc w:val="center"/>
      </w:pPr>
      <w:r>
        <w:rPr>
          <w:rFonts w:ascii="Times New Roman" w:hAnsi="Times New Roman"/>
          <w:b/>
          <w:i w:val="0"/>
          <w:color w:val="111827"/>
          <w:sz w:val="26"/>
        </w:rPr>
        <w:t>BACHELOR OF TECHNOLOGY</w:t>
      </w:r>
    </w:p>
    <w:p>
      <w:pPr>
        <w:spacing w:after="280" w:before="0" w:line="288" w:lineRule="auto"/>
        <w:jc w:val="center"/>
      </w:pPr>
      <w:r>
        <w:rPr>
          <w:rFonts w:ascii="Times New Roman" w:hAnsi="Times New Roman"/>
          <w:b w:val="0"/>
          <w:i w:val="0"/>
          <w:color w:val="111827"/>
          <w:sz w:val="22"/>
        </w:rPr>
        <w:t>Degree in Computer Science &amp; Engineering</w:t>
      </w:r>
    </w:p>
    <w:p>
      <w:pPr>
        <w:spacing w:after="360" w:before="0" w:line="288" w:lineRule="auto"/>
        <w:jc w:val="center"/>
      </w:pPr>
      <w:r>
        <w:rPr>
          <w:rFonts w:ascii="Times New Roman" w:hAnsi="Times New Roman"/>
          <w:b/>
          <w:i w:val="0"/>
          <w:color w:val="111827"/>
          <w:sz w:val="23"/>
        </w:rPr>
        <w:t>Academic Session: 2026–27</w:t>
      </w:r>
    </w:p>
    <w:tbl>
      <w:tblPr>
        <w:tblW w:type="auto" w:w="0"/>
        <w:jc w:val="center"/>
        <w:tblLayout w:type="fixed"/>
        <w:tblLook w:firstColumn="1" w:firstRow="1" w:lastColumn="0" w:lastRow="0" w:noHBand="0" w:noVBand="1" w:val="04A0"/>
      </w:tblPr>
      <w:tblGrid>
        <w:gridCol w:w="4608"/>
        <w:gridCol w:w="4608"/>
      </w:tblGrid>
      <w:tr>
        <w:tc>
          <w:tcPr>
            <w:tcW w:type="dxa" w:w="4513"/>
          </w:tcPr>
          <w:p>
            <w:pPr>
              <w:spacing w:line="276" w:lineRule="auto"/>
              <w:jc w:val="left"/>
            </w:pPr>
            <w:r>
              <w:rPr>
                <w:b/>
              </w:rPr>
              <w:t>Under the Guidance of:</w:t>
              <w:br/>
            </w:r>
            <w:r>
              <w:rPr>
                <w:b/>
              </w:rPr>
              <w:t>[GUIDE NAME]</w:t>
              <w:br/>
            </w:r>
            <w:r>
              <w:t>[DESIGNATION]</w:t>
              <w:br/>
            </w:r>
            <w:r>
              <w:t>Department of Computer Science &amp; Engg.</w:t>
              <w:br/>
            </w:r>
            <w:r>
              <w:t>Galgotias University</w:t>
            </w:r>
          </w:p>
        </w:tc>
        <w:tc>
          <w:tcPr>
            <w:tcW w:type="dxa" w:w="4513"/>
          </w:tcPr>
          <w:p>
            <w:pPr>
              <w:spacing w:line="276" w:lineRule="auto"/>
              <w:jc w:val="right"/>
            </w:pPr>
            <w:r>
              <w:rPr>
                <w:b/>
              </w:rPr>
              <w:t>Submitted By:</w:t>
              <w:br/>
            </w:r>
            <w:r>
              <w:t>[STUDENT NAME 1] — [ADM NO 1]</w:t>
              <w:br/>
            </w:r>
            <w:r>
              <w:t>[STUDENT NAME 2] — [ADM NO 2]</w:t>
              <w:br/>
            </w:r>
            <w:r>
              <w:t>[STUDENT NAME 3] — [ADM NO 3]</w:t>
              <w:br/>
            </w:r>
            <w:r>
              <w:t>[STUDENT NAME 4] — [ADM NO 4]</w:t>
            </w:r>
          </w:p>
        </w:tc>
      </w:tr>
    </w:tbl>
    <w:p>
      <w:pPr>
        <w:spacing w:after="0" w:before="480" w:line="288" w:lineRule="auto"/>
        <w:jc w:val="center"/>
      </w:pPr>
      <w:r>
        <w:rPr>
          <w:rFonts w:ascii="Times New Roman" w:hAnsi="Times New Roman"/>
          <w:b/>
          <w:i w:val="0"/>
          <w:color w:val="111827"/>
          <w:sz w:val="22"/>
        </w:rPr>
        <w:br/>
        <w:t>Date of Submission: October 2026</w:t>
      </w:r>
    </w:p>
    <w:p>
      <w:r>
        <w:br w:type="page"/>
      </w:r>
    </w:p>
    <w:p>
      <w:pPr>
        <w:spacing w:before="360" w:after="240"/>
        <w:jc w:val="center"/>
      </w:pPr>
      <w:r>
        <w:rPr>
          <w:rFonts w:ascii="Times New Roman" w:hAnsi="Times New Roman"/>
          <w:b/>
          <w:color w:val="0F172A"/>
          <w:sz w:val="32"/>
        </w:rPr>
        <w:t>APPENDIX-1</w:t>
        <w:br/>
        <w:t>PROJECT PROGRESS APPROVAL FORM (INTERIM REPORT-I / MTE)</w:t>
      </w:r>
    </w:p>
    <w:p>
      <w:pPr>
        <w:spacing w:after="240" w:before="0" w:line="288" w:lineRule="auto"/>
        <w:jc w:val="center"/>
      </w:pPr>
      <w:r>
        <w:rPr>
          <w:rFonts w:ascii="Times New Roman" w:hAnsi="Times New Roman"/>
          <w:b/>
          <w:i w:val="0"/>
          <w:color w:val="475569"/>
          <w:sz w:val="20"/>
        </w:rPr>
        <w:t>GALGOTIAS UNIVERSITY | SCHOOL OF COMPUTER SCIENCE &amp; ENGINEERING</w:t>
      </w:r>
    </w:p>
    <w:p>
      <w:pPr>
        <w:spacing w:after="40" w:before="0" w:line="288" w:lineRule="auto"/>
        <w:jc w:val="both"/>
      </w:pPr>
      <w:r>
        <w:rPr>
          <w:rFonts w:ascii="Times New Roman" w:hAnsi="Times New Roman"/>
          <w:b/>
          <w:i w:val="0"/>
          <w:color w:val="111827"/>
          <w:sz w:val="22"/>
        </w:rPr>
        <w:t>Academic Session: 2026–2027          Semester: 7th Semester (MTE)</w:t>
      </w:r>
    </w:p>
    <w:p>
      <w:pPr>
        <w:spacing w:after="40" w:before="0" w:line="288" w:lineRule="auto"/>
        <w:jc w:val="both"/>
      </w:pPr>
      <w:r>
        <w:rPr>
          <w:rFonts w:ascii="Times New Roman" w:hAnsi="Times New Roman"/>
          <w:b/>
          <w:i w:val="0"/>
          <w:color w:val="111827"/>
          <w:sz w:val="22"/>
        </w:rPr>
        <w:t>Project Title: ANVESH: Cyber Forensic Intelligence &amp; Email Threat Detection Platform</w:t>
      </w:r>
    </w:p>
    <w:p>
      <w:pPr>
        <w:spacing w:after="200" w:before="0" w:line="288" w:lineRule="auto"/>
        <w:jc w:val="both"/>
      </w:pPr>
      <w:r>
        <w:rPr>
          <w:rFonts w:ascii="Times New Roman" w:hAnsi="Times New Roman"/>
          <w:b w:val="0"/>
          <w:i w:val="0"/>
          <w:color w:val="111827"/>
          <w:sz w:val="22"/>
        </w:rPr>
        <w:t>Problem Statement ID: SIH26106 (Smart India Hackathon 2026)</w:t>
      </w:r>
    </w:p>
    <w:p>
      <w:pPr>
        <w:spacing w:before="240" w:after="80"/>
        <w:jc w:val="left"/>
      </w:pPr>
      <w:r>
        <w:rPr>
          <w:rFonts w:ascii="Times New Roman" w:hAnsi="Times New Roman"/>
          <w:b/>
          <w:color w:val="0F172A"/>
          <w:sz w:val="22"/>
        </w:rPr>
        <w:t>Student Team Candidate Information</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fill="E2E8F0"/>
          </w:tcPr>
          <w:p>
            <w:r>
              <w:rPr>
                <w:b/>
              </w:rPr>
              <w:t>S.No.</w:t>
            </w:r>
          </w:p>
        </w:tc>
        <w:tc>
          <w:tcPr>
            <w:tcW w:type="dxa" w:w="1805"/>
            <w:shd w:fill="E2E8F0"/>
          </w:tcPr>
          <w:p>
            <w:r>
              <w:rPr>
                <w:b/>
              </w:rPr>
              <w:t>Student Name</w:t>
            </w:r>
          </w:p>
        </w:tc>
        <w:tc>
          <w:tcPr>
            <w:tcW w:type="dxa" w:w="1805"/>
            <w:shd w:fill="E2E8F0"/>
          </w:tcPr>
          <w:p>
            <w:r>
              <w:rPr>
                <w:b/>
              </w:rPr>
              <w:t>Admission No.</w:t>
            </w:r>
          </w:p>
        </w:tc>
        <w:tc>
          <w:tcPr>
            <w:tcW w:type="dxa" w:w="1805"/>
            <w:shd w:fill="E2E8F0"/>
          </w:tcPr>
          <w:p>
            <w:r>
              <w:rPr>
                <w:b/>
              </w:rPr>
              <w:t>Roll No.</w:t>
            </w:r>
          </w:p>
        </w:tc>
        <w:tc>
          <w:tcPr>
            <w:tcW w:type="dxa" w:w="1805"/>
            <w:shd w:fill="E2E8F0"/>
          </w:tcPr>
          <w:p>
            <w:r>
              <w:rPr>
                <w:b/>
              </w:rPr>
              <w:t>Signature</w:t>
            </w:r>
          </w:p>
        </w:tc>
      </w:tr>
      <w:tr>
        <w:tc>
          <w:tcPr>
            <w:tcW w:type="dxa" w:w="1805"/>
          </w:tcPr>
          <w:p>
            <w:r>
              <w:t>1.</w:t>
            </w:r>
          </w:p>
        </w:tc>
        <w:tc>
          <w:tcPr>
            <w:tcW w:type="dxa" w:w="1805"/>
          </w:tcPr>
          <w:p>
            <w:r>
              <w:t>[STUDENT NAME 1]</w:t>
            </w:r>
          </w:p>
        </w:tc>
        <w:tc>
          <w:tcPr>
            <w:tcW w:type="dxa" w:w="1805"/>
          </w:tcPr>
          <w:p>
            <w:r>
              <w:t>[ADMISSION NUMBER 1]</w:t>
            </w:r>
          </w:p>
        </w:tc>
        <w:tc>
          <w:tcPr>
            <w:tcW w:type="dxa" w:w="1805"/>
          </w:tcPr>
          <w:p>
            <w:r>
              <w:t>[ROLL NUMBER 1]</w:t>
            </w:r>
          </w:p>
        </w:tc>
        <w:tc>
          <w:tcPr>
            <w:tcW w:type="dxa" w:w="1805"/>
          </w:tcPr>
          <w:p>
            <w:r>
              <w:t>_________</w:t>
            </w:r>
          </w:p>
        </w:tc>
      </w:tr>
      <w:tr>
        <w:tc>
          <w:tcPr>
            <w:tcW w:type="dxa" w:w="1805"/>
          </w:tcPr>
          <w:p>
            <w:r>
              <w:t>2.</w:t>
            </w:r>
          </w:p>
        </w:tc>
        <w:tc>
          <w:tcPr>
            <w:tcW w:type="dxa" w:w="1805"/>
          </w:tcPr>
          <w:p>
            <w:r>
              <w:t>[STUDENT NAME 2]</w:t>
            </w:r>
          </w:p>
        </w:tc>
        <w:tc>
          <w:tcPr>
            <w:tcW w:type="dxa" w:w="1805"/>
          </w:tcPr>
          <w:p>
            <w:r>
              <w:t>[ADMISSION NUMBER 2]</w:t>
            </w:r>
          </w:p>
        </w:tc>
        <w:tc>
          <w:tcPr>
            <w:tcW w:type="dxa" w:w="1805"/>
          </w:tcPr>
          <w:p>
            <w:r>
              <w:t>[ROLL NUMBER 2]</w:t>
            </w:r>
          </w:p>
        </w:tc>
        <w:tc>
          <w:tcPr>
            <w:tcW w:type="dxa" w:w="1805"/>
          </w:tcPr>
          <w:p>
            <w:r>
              <w:t>_________</w:t>
            </w:r>
          </w:p>
        </w:tc>
      </w:tr>
      <w:tr>
        <w:tc>
          <w:tcPr>
            <w:tcW w:type="dxa" w:w="1805"/>
          </w:tcPr>
          <w:p>
            <w:r>
              <w:t>3.</w:t>
            </w:r>
          </w:p>
        </w:tc>
        <w:tc>
          <w:tcPr>
            <w:tcW w:type="dxa" w:w="1805"/>
          </w:tcPr>
          <w:p>
            <w:r>
              <w:t>[STUDENT NAME 3]</w:t>
            </w:r>
          </w:p>
        </w:tc>
        <w:tc>
          <w:tcPr>
            <w:tcW w:type="dxa" w:w="1805"/>
          </w:tcPr>
          <w:p>
            <w:r>
              <w:t>[ADMISSION NUMBER 3]</w:t>
            </w:r>
          </w:p>
        </w:tc>
        <w:tc>
          <w:tcPr>
            <w:tcW w:type="dxa" w:w="1805"/>
          </w:tcPr>
          <w:p>
            <w:r>
              <w:t>[ROLL NUMBER 3]</w:t>
            </w:r>
          </w:p>
        </w:tc>
        <w:tc>
          <w:tcPr>
            <w:tcW w:type="dxa" w:w="1805"/>
          </w:tcPr>
          <w:p>
            <w:r>
              <w:t>_________</w:t>
            </w:r>
          </w:p>
        </w:tc>
      </w:tr>
      <w:tr>
        <w:tc>
          <w:tcPr>
            <w:tcW w:type="dxa" w:w="1805"/>
          </w:tcPr>
          <w:p>
            <w:r>
              <w:t>4.</w:t>
            </w:r>
          </w:p>
        </w:tc>
        <w:tc>
          <w:tcPr>
            <w:tcW w:type="dxa" w:w="1805"/>
          </w:tcPr>
          <w:p>
            <w:r>
              <w:t>[STUDENT NAME 4]</w:t>
            </w:r>
          </w:p>
        </w:tc>
        <w:tc>
          <w:tcPr>
            <w:tcW w:type="dxa" w:w="1805"/>
          </w:tcPr>
          <w:p>
            <w:r>
              <w:t>[ADMISSION NUMBER 4]</w:t>
            </w:r>
          </w:p>
        </w:tc>
        <w:tc>
          <w:tcPr>
            <w:tcW w:type="dxa" w:w="1805"/>
          </w:tcPr>
          <w:p>
            <w:r>
              <w:t>[ROLL NUMBER 4]</w:t>
            </w:r>
          </w:p>
        </w:tc>
        <w:tc>
          <w:tcPr>
            <w:tcW w:type="dxa" w:w="1805"/>
          </w:tcPr>
          <w:p>
            <w:r>
              <w:t>_________</w:t>
            </w:r>
          </w:p>
        </w:tc>
      </w:tr>
    </w:tbl>
    <w:p>
      <w:pPr>
        <w:spacing w:after="160" w:before="0" w:line="288" w:lineRule="auto"/>
        <w:jc w:val="both"/>
      </w:pPr>
      <w:r>
        <w:rPr>
          <w:rFonts w:ascii="Times New Roman" w:hAnsi="Times New Roman"/>
          <w:b w:val="0"/>
          <w:i w:val="0"/>
          <w:color w:val="111827"/>
          <w:sz w:val="24"/>
        </w:rPr>
      </w:r>
    </w:p>
    <w:p>
      <w:pPr>
        <w:spacing w:before="240" w:after="80"/>
        <w:jc w:val="left"/>
      </w:pPr>
      <w:r>
        <w:rPr>
          <w:rFonts w:ascii="Times New Roman" w:hAnsi="Times New Roman"/>
          <w:b/>
          <w:color w:val="0F172A"/>
          <w:sz w:val="22"/>
        </w:rPr>
        <w:t>Project Progress Status at MTE Milestone</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fill="E2E8F0"/>
          </w:tcPr>
          <w:p>
            <w:r>
              <w:rPr>
                <w:b/>
              </w:rPr>
              <w:t>S.No.</w:t>
            </w:r>
          </w:p>
        </w:tc>
        <w:tc>
          <w:tcPr>
            <w:tcW w:type="dxa" w:w="2256"/>
            <w:shd w:fill="E2E8F0"/>
          </w:tcPr>
          <w:p>
            <w:r>
              <w:rPr>
                <w:b/>
              </w:rPr>
              <w:t>Milestone Deliverable / Criterion</w:t>
            </w:r>
          </w:p>
        </w:tc>
        <w:tc>
          <w:tcPr>
            <w:tcW w:type="dxa" w:w="2256"/>
            <w:shd w:fill="E2E8F0"/>
          </w:tcPr>
          <w:p>
            <w:r>
              <w:rPr>
                <w:b/>
              </w:rPr>
              <w:t>Status</w:t>
            </w:r>
          </w:p>
        </w:tc>
        <w:tc>
          <w:tcPr>
            <w:tcW w:type="dxa" w:w="2256"/>
            <w:shd w:fill="E2E8F0"/>
          </w:tcPr>
          <w:p>
            <w:r>
              <w:rPr>
                <w:b/>
              </w:rPr>
              <w:t>Guide Remarks</w:t>
            </w:r>
          </w:p>
        </w:tc>
      </w:tr>
      <w:tr>
        <w:tc>
          <w:tcPr>
            <w:tcW w:type="dxa" w:w="2256"/>
          </w:tcPr>
          <w:p>
            <w:r>
              <w:t>1.</w:t>
            </w:r>
          </w:p>
        </w:tc>
        <w:tc>
          <w:tcPr>
            <w:tcW w:type="dxa" w:w="2256"/>
          </w:tcPr>
          <w:p>
            <w:r>
              <w:t>Problem Formulation &amp; Definition</w:t>
            </w:r>
          </w:p>
        </w:tc>
        <w:tc>
          <w:tcPr>
            <w:tcW w:type="dxa" w:w="2256"/>
          </w:tcPr>
          <w:p>
            <w:r>
              <w:t>COMPLETED</w:t>
            </w:r>
          </w:p>
        </w:tc>
        <w:tc>
          <w:tcPr>
            <w:tcW w:type="dxa" w:w="2256"/>
          </w:tcPr>
          <w:p>
            <w:r>
              <w:t>Approved by Guide</w:t>
            </w:r>
          </w:p>
        </w:tc>
      </w:tr>
      <w:tr>
        <w:tc>
          <w:tcPr>
            <w:tcW w:type="dxa" w:w="2256"/>
          </w:tcPr>
          <w:p>
            <w:r>
              <w:t>2.</w:t>
            </w:r>
          </w:p>
        </w:tc>
        <w:tc>
          <w:tcPr>
            <w:tcW w:type="dxa" w:w="2256"/>
          </w:tcPr>
          <w:p>
            <w:r>
              <w:t>Literature Review &amp; State-of-the-Art Survey</w:t>
            </w:r>
          </w:p>
        </w:tc>
        <w:tc>
          <w:tcPr>
            <w:tcW w:type="dxa" w:w="2256"/>
          </w:tcPr>
          <w:p>
            <w:r>
              <w:t>COMPLETED</w:t>
            </w:r>
          </w:p>
        </w:tc>
        <w:tc>
          <w:tcPr>
            <w:tcW w:type="dxa" w:w="2256"/>
          </w:tcPr>
          <w:p>
            <w:r>
              <w:t>Rigorous survey across IEEE/ACM</w:t>
            </w:r>
          </w:p>
        </w:tc>
      </w:tr>
      <w:tr>
        <w:tc>
          <w:tcPr>
            <w:tcW w:type="dxa" w:w="2256"/>
          </w:tcPr>
          <w:p>
            <w:r>
              <w:t>3.</w:t>
            </w:r>
          </w:p>
        </w:tc>
        <w:tc>
          <w:tcPr>
            <w:tcW w:type="dxa" w:w="2256"/>
          </w:tcPr>
          <w:p>
            <w:r>
              <w:t>Drafting Introduction Section of Research Paper</w:t>
            </w:r>
          </w:p>
        </w:tc>
        <w:tc>
          <w:tcPr>
            <w:tcW w:type="dxa" w:w="2256"/>
          </w:tcPr>
          <w:p>
            <w:r>
              <w:t>COMPLETED</w:t>
            </w:r>
          </w:p>
        </w:tc>
        <w:tc>
          <w:tcPr>
            <w:tcW w:type="dxa" w:w="2256"/>
          </w:tcPr>
          <w:p>
            <w:r>
              <w:t>Formulated in Chapter 1</w:t>
            </w:r>
          </w:p>
        </w:tc>
      </w:tr>
      <w:tr>
        <w:tc>
          <w:tcPr>
            <w:tcW w:type="dxa" w:w="2256"/>
          </w:tcPr>
          <w:p>
            <w:r>
              <w:t>4.</w:t>
            </w:r>
          </w:p>
        </w:tc>
        <w:tc>
          <w:tcPr>
            <w:tcW w:type="dxa" w:w="2256"/>
          </w:tcPr>
          <w:p>
            <w:r>
              <w:t>Drafting Literature Review Section of Research Paper</w:t>
            </w:r>
          </w:p>
        </w:tc>
        <w:tc>
          <w:tcPr>
            <w:tcW w:type="dxa" w:w="2256"/>
          </w:tcPr>
          <w:p>
            <w:r>
              <w:t>COMPLETED</w:t>
            </w:r>
          </w:p>
        </w:tc>
        <w:tc>
          <w:tcPr>
            <w:tcW w:type="dxa" w:w="2256"/>
          </w:tcPr>
          <w:p>
            <w:r>
              <w:t>Formulated in Chapter 2</w:t>
            </w:r>
          </w:p>
        </w:tc>
      </w:tr>
      <w:tr>
        <w:tc>
          <w:tcPr>
            <w:tcW w:type="dxa" w:w="2256"/>
          </w:tcPr>
          <w:p>
            <w:r>
              <w:t>5.</w:t>
            </w:r>
          </w:p>
        </w:tc>
        <w:tc>
          <w:tcPr>
            <w:tcW w:type="dxa" w:w="2256"/>
          </w:tcPr>
          <w:p>
            <w:r>
              <w:t>Identification of Specific Research Gaps</w:t>
            </w:r>
          </w:p>
        </w:tc>
        <w:tc>
          <w:tcPr>
            <w:tcW w:type="dxa" w:w="2256"/>
          </w:tcPr>
          <w:p>
            <w:r>
              <w:t>COMPLETED</w:t>
            </w:r>
          </w:p>
        </w:tc>
        <w:tc>
          <w:tcPr>
            <w:tcW w:type="dxa" w:w="2256"/>
          </w:tcPr>
          <w:p>
            <w:r>
              <w:t>5 distinct gaps defined</w:t>
            </w:r>
          </w:p>
        </w:tc>
      </w:tr>
      <w:tr>
        <w:tc>
          <w:tcPr>
            <w:tcW w:type="dxa" w:w="2256"/>
          </w:tcPr>
          <w:p>
            <w:r>
              <w:t>6.</w:t>
            </w:r>
          </w:p>
        </w:tc>
        <w:tc>
          <w:tcPr>
            <w:tcW w:type="dxa" w:w="2256"/>
          </w:tcPr>
          <w:p>
            <w:r>
              <w:t>Prototype Feasibility &amp; Core Pipeline Verification</w:t>
            </w:r>
          </w:p>
        </w:tc>
        <w:tc>
          <w:tcPr>
            <w:tcW w:type="dxa" w:w="2256"/>
          </w:tcPr>
          <w:p>
            <w:r>
              <w:t>IN PROGRESS</w:t>
            </w:r>
          </w:p>
        </w:tc>
        <w:tc>
          <w:tcPr>
            <w:tcW w:type="dxa" w:w="2256"/>
          </w:tcPr>
          <w:p>
            <w:r>
              <w:t>RFC-822, ML &amp; Npcap verified</w:t>
            </w:r>
          </w:p>
        </w:tc>
      </w:tr>
    </w:tbl>
    <w:p>
      <w:pPr>
        <w:spacing w:after="200" w:before="0" w:line="288" w:lineRule="auto"/>
        <w:jc w:val="both"/>
      </w:pPr>
      <w:r>
        <w:rPr>
          <w:rFonts w:ascii="Times New Roman" w:hAnsi="Times New Roman"/>
          <w:b w:val="0"/>
          <w:i w:val="0"/>
          <w:color w:val="111827"/>
          <w:sz w:val="24"/>
        </w:rPr>
      </w:r>
    </w:p>
    <w:p>
      <w:pPr>
        <w:spacing w:after="40" w:before="0" w:line="288" w:lineRule="auto"/>
        <w:jc w:val="both"/>
      </w:pPr>
      <w:r>
        <w:rPr>
          <w:rFonts w:ascii="Times New Roman" w:hAnsi="Times New Roman"/>
          <w:b/>
          <w:i w:val="0"/>
          <w:color w:val="111827"/>
          <w:sz w:val="22"/>
        </w:rPr>
        <w:t>Guide's Assessment &amp; Recommendation:</w:t>
      </w:r>
    </w:p>
    <w:p>
      <w:pPr>
        <w:spacing w:after="280" w:before="0" w:line="288" w:lineRule="auto"/>
        <w:jc w:val="both"/>
      </w:pPr>
      <w:r>
        <w:rPr>
          <w:rFonts w:ascii="Times New Roman" w:hAnsi="Times New Roman"/>
          <w:b w:val="0"/>
          <w:i w:val="0"/>
          <w:color w:val="111827"/>
          <w:sz w:val="21"/>
        </w:rPr>
        <w:t>This is to certify that the above students have satisfactorily carried out their Capstone Project Work entitled 'ANVESH: Cyber Forensic Intelligence &amp; Email Threat Detection Platform' during the 7th Semester up to the Mid-Term Examination (MTE) milestone. The progress of the project, including the Literature Review and Research Paper Introduction/Survey sections, has been evaluated and approved for submission.</w:t>
      </w:r>
    </w:p>
    <w:p>
      <w:pPr>
        <w:spacing w:after="360" w:before="0" w:line="288" w:lineRule="auto"/>
        <w:jc w:val="center"/>
      </w:pPr>
      <w:r>
        <w:rPr>
          <w:rFonts w:ascii="Times New Roman" w:hAnsi="Times New Roman"/>
          <w:b/>
          <w:i/>
          <w:color w:val="DC2626"/>
          <w:sz w:val="22"/>
        </w:rPr>
        <w:t>[INSERT SIGNED PROJECT PROGRESS APPROVAL FORM FROM GUIDE — APPENDIX-1]</w:t>
      </w:r>
    </w:p>
    <w:p>
      <w:pPr>
        <w:spacing w:after="40" w:before="0" w:line="288" w:lineRule="auto"/>
        <w:jc w:val="both"/>
      </w:pPr>
      <w:r>
        <w:rPr>
          <w:rFonts w:ascii="Times New Roman" w:hAnsi="Times New Roman"/>
          <w:b/>
          <w:i w:val="0"/>
          <w:color w:val="111827"/>
          <w:sz w:val="22"/>
        </w:rPr>
        <w:t>Signature of Guide: ________________________        Date: October ____, 2026</w:t>
      </w:r>
    </w:p>
    <w:p>
      <w:pPr>
        <w:spacing w:after="0" w:before="0" w:line="288" w:lineRule="auto"/>
        <w:jc w:val="both"/>
      </w:pPr>
      <w:r>
        <w:rPr>
          <w:rFonts w:ascii="Times New Roman" w:hAnsi="Times New Roman"/>
          <w:b w:val="0"/>
          <w:i w:val="0"/>
          <w:color w:val="111827"/>
          <w:sz w:val="21"/>
        </w:rPr>
        <w:t>Name of Guide: [GUIDE NAME]                      Designation: [DESIGNATION]</w:t>
      </w:r>
    </w:p>
    <w:p>
      <w:r>
        <w:br w:type="page"/>
      </w:r>
    </w:p>
    <w:p>
      <w:pPr>
        <w:spacing w:before="360" w:after="240"/>
        <w:jc w:val="center"/>
      </w:pPr>
      <w:r>
        <w:rPr>
          <w:rFonts w:ascii="Times New Roman" w:hAnsi="Times New Roman"/>
          <w:b/>
          <w:color w:val="0F172A"/>
          <w:sz w:val="32"/>
        </w:rPr>
        <w:t>SYNOPSIS</w:t>
      </w:r>
    </w:p>
    <w:p>
      <w:pPr>
        <w:spacing w:before="200" w:after="80"/>
        <w:jc w:val="left"/>
      </w:pPr>
      <w:r>
        <w:rPr>
          <w:rFonts w:ascii="Times New Roman" w:hAnsi="Times New Roman"/>
          <w:b/>
          <w:color w:val="1E293B"/>
          <w:sz w:val="24"/>
        </w:rPr>
        <w:t>1. Project Background</w:t>
      </w:r>
    </w:p>
    <w:p>
      <w:pPr>
        <w:spacing w:after="120" w:before="0" w:line="288" w:lineRule="auto"/>
        <w:jc w:val="both"/>
      </w:pPr>
      <w:r>
        <w:rPr>
          <w:rFonts w:ascii="Times New Roman" w:hAnsi="Times New Roman"/>
          <w:b w:val="0"/>
          <w:i w:val="0"/>
          <w:color w:val="111827"/>
          <w:sz w:val="24"/>
        </w:rPr>
        <w:t>Electronic mail communication serves as the fundamental operational backbone for modern enterprise collaboration, inter-organizational financial transactions, and official administrative governance. However, the foundational underlying protocols —namely SMTP (RFC 5321) and the RFC 5322 message format standard—were established during the nascent development of the internet with an emphasis on open interoperability over defensive security. Consequently, internet mail inherently lacks mandatory cryptographic sender identity authentication, non-repudiation, and transit integrity guarantees. Cyber adversaries exploit these structural vulnerabilities to deliver multi-stage social engineering campaigns, credential harvesting vectors, and fraudulent financial redirection lures. The Smart India Hackathon (SIH 2026) Problem Statement SIH26106 specifically targets this challenge, demanding an integrated, verifiable cyber-forensic intelligence platform to perform automated email header analysis, threat deconstruction, and court-admissible evidence reporting.</w:t>
      </w:r>
    </w:p>
    <w:p>
      <w:pPr>
        <w:spacing w:before="200" w:after="80"/>
        <w:jc w:val="left"/>
      </w:pPr>
      <w:r>
        <w:rPr>
          <w:rFonts w:ascii="Times New Roman" w:hAnsi="Times New Roman"/>
          <w:b/>
          <w:color w:val="1E293B"/>
          <w:sz w:val="24"/>
        </w:rPr>
        <w:t>2. Cybersecurity Problem</w:t>
      </w:r>
    </w:p>
    <w:p>
      <w:pPr>
        <w:spacing w:after="120" w:before="0" w:line="288" w:lineRule="auto"/>
        <w:jc w:val="both"/>
      </w:pPr>
      <w:r>
        <w:rPr>
          <w:rFonts w:ascii="Times New Roman" w:hAnsi="Times New Roman"/>
          <w:b w:val="0"/>
          <w:i w:val="0"/>
          <w:color w:val="111827"/>
          <w:sz w:val="24"/>
        </w:rPr>
        <w:t>Conventional enterprise defenses remain fragmented across disconnected functional silos. Traditional Secure Email Gateways (SEGs) rely predominantly on static blacklists of known malicious domain names, IP addresses, and file signatures. When sophisticated attackers deploy Business Email Compromise (BEC) schemes—such as compromising a legitimate corporate account or registering an orthographically similar lookalike domain—traditional defenses suffer catastrophic failure. In an 'Authenticated BEC' attack, the sender transmits messages from a compromised authentic corporate mailbox, resulting in complete cryptographic passes across SPF, DKIM, and DMARC. Because conventional gateways equate cryptographic passes with benign intent, financial wire diversion lures bypass perimeter inspection entirely. Furthermore, Security Operations Center (SOC) tooling completely bifurcates Layer 7 email threat analysis from Layer 3/4 network transport telemetry, failing to correlate post-delivery Command-and-Control (C2) beaconing or unauthorized connection anomalies with inbound email lures. Finally, existing machine learning detectors function as unexplainable 'black boxes,' generating opaque probability scores while failing to preserve an unbroken, cryptographically verifiable chain of custody necessary for legal prosecution.</w:t>
      </w:r>
    </w:p>
    <w:p>
      <w:pPr>
        <w:spacing w:before="200" w:after="80"/>
        <w:jc w:val="left"/>
      </w:pPr>
      <w:r>
        <w:rPr>
          <w:rFonts w:ascii="Times New Roman" w:hAnsi="Times New Roman"/>
          <w:b/>
          <w:color w:val="1E293B"/>
          <w:sz w:val="24"/>
        </w:rPr>
        <w:t>3. Motivation</w:t>
      </w:r>
    </w:p>
    <w:p>
      <w:pPr>
        <w:spacing w:after="120" w:before="0" w:line="288" w:lineRule="auto"/>
        <w:jc w:val="both"/>
      </w:pPr>
      <w:r>
        <w:rPr>
          <w:rFonts w:ascii="Times New Roman" w:hAnsi="Times New Roman"/>
          <w:b w:val="0"/>
          <w:i w:val="0"/>
          <w:color w:val="111827"/>
          <w:sz w:val="24"/>
        </w:rPr>
        <w:t>The motivation behind ANVESH (अन्वेष) arises from the severe operational friction experienced by SOC analysts and law enforcement investigators. Investigators must manually pivot across multiple disparate command-line MIME utilities, external DNS/WHOIS portals, commercial threat intelligence APIs, Wireshark packet analyzers, and manual text processors. This fragmented workflow creates operational latency, often delaying incident containment by hours or days while increasing analyst alert fatigue. More critically, informal evidence extraction breaks evidentiary continuity, resulting in judicial dismissals during legal proceedings. ANVESH is motivated by the necessity for a unified, zero-fabrication cyber forensic workbench that synthesizes multi-tier threat detection, network transport telemetry, transparent explainable risk scoring, and automated court-admissible forensic reporting.</w:t>
      </w:r>
    </w:p>
    <w:p>
      <w:pPr>
        <w:spacing w:before="200" w:after="80"/>
        <w:jc w:val="left"/>
      </w:pPr>
      <w:r>
        <w:rPr>
          <w:rFonts w:ascii="Times New Roman" w:hAnsi="Times New Roman"/>
          <w:b/>
          <w:color w:val="1E293B"/>
          <w:sz w:val="24"/>
        </w:rPr>
        <w:t>4. Proposed ANVESH Solution</w:t>
      </w:r>
    </w:p>
    <w:p>
      <w:pPr>
        <w:spacing w:after="120" w:before="0" w:line="288" w:lineRule="auto"/>
        <w:jc w:val="both"/>
      </w:pPr>
      <w:r>
        <w:rPr>
          <w:rFonts w:ascii="Times New Roman" w:hAnsi="Times New Roman"/>
          <w:b w:val="0"/>
          <w:i w:val="0"/>
          <w:color w:val="111827"/>
          <w:sz w:val="24"/>
        </w:rPr>
        <w:t>ANVESH implements a modular, defense-in-depth architecture. The platform ingests raw RFC-822 (.eml) payloads and immediately establishes an immutable SHA-256 evidence baseline. It parses multipart MIME boundaries, traverses chronological Received: hops backwards to candidate origin gateways, and validates cryptographic SPF, DKIM, and DMARC parameters alongside BGP autonomous system numbers (ASN) and Tor exit node registries. To avoid the pitfalls of a monolithic classifier, ANVESH deploys a specialized multi-tier AI/ML subsystem comprising: Model 1 (TF-IDF + Calibrated Logistic Regression for phishing credential lures), Model 2 (Balanced Logistic Regression for BEC financial coercion and wire fraud keywords), Model 3A (Deterministic heuristic discrepancy matching for display-name spoofing), Model 3B (Random Forest structural predictor on Levenshtein and Jaro-Winkler distances against high-value target brand registries), and Model 4/5 (Random Forest classifier trained on 41 NSL-KDD transport features hooked to passive Npcap live wire packet sniffing). All outputs are synthesized through an Explainable Signal Fusion Engine that yields a normalized 0–100 threat score based on transparent, auditable point contributions.</w:t>
      </w:r>
    </w:p>
    <w:p>
      <w:pPr>
        <w:spacing w:before="200" w:after="80"/>
        <w:jc w:val="left"/>
      </w:pPr>
      <w:r>
        <w:rPr>
          <w:rFonts w:ascii="Times New Roman" w:hAnsi="Times New Roman"/>
          <w:b/>
          <w:color w:val="1E293B"/>
          <w:sz w:val="24"/>
        </w:rPr>
        <w:t>5. Major Objectives</w:t>
      </w:r>
    </w:p>
    <w:p>
      <w:pPr>
        <w:spacing w:after="120" w:before="0" w:line="288" w:lineRule="auto"/>
        <w:jc w:val="both"/>
      </w:pPr>
      <w:r>
        <w:rPr>
          <w:rFonts w:ascii="Times New Roman" w:hAnsi="Times New Roman"/>
          <w:b w:val="0"/>
          <w:i w:val="0"/>
          <w:color w:val="111827"/>
          <w:sz w:val="24"/>
        </w:rPr>
        <w:t>The primary objectives of the project are: (1) To architect an automated RFC-822 ingestion parser that unrolls MIME structures and commits artifacts to an immutable SHA-256 evidence ledger; (2) To implement reverse chronological Received: hop traversal to reconstruct message transit routing across autonomous systems; (3) To evaluate cryptographic SPF, DKIM, and DMARC authentication records to differentiate administrative misconfigurations from active spoofing; (4) To train specialized machine learning models for lexical phishing detection and BEC financial urgency analysis; (5) To construct a lookalike domain detector evaluating Levenshtein and homoglyph metrics; (6) To integrate low-level network session telemetry (Engine 5) using the 41-feature NSL-KDD benchmark; (7) To implement an Explainable Signal Fusion engine enforcing the Attribution Boundary Safeguard ('Actor Identity: NOT ESTABLISHED'); and (8) To automate the generation of court-admissible forensic PDF dossiers containing complete evidence digests.</w:t>
      </w:r>
    </w:p>
    <w:p>
      <w:pPr>
        <w:spacing w:before="200" w:after="80"/>
        <w:jc w:val="left"/>
      </w:pPr>
      <w:r>
        <w:rPr>
          <w:rFonts w:ascii="Times New Roman" w:hAnsi="Times New Roman"/>
          <w:b/>
          <w:color w:val="1E293B"/>
          <w:sz w:val="24"/>
        </w:rPr>
        <w:t>6. High-Level Methodology</w:t>
      </w:r>
    </w:p>
    <w:p>
      <w:pPr>
        <w:spacing w:after="120" w:before="0" w:line="288" w:lineRule="auto"/>
        <w:jc w:val="both"/>
      </w:pPr>
      <w:r>
        <w:rPr>
          <w:rFonts w:ascii="Times New Roman" w:hAnsi="Times New Roman"/>
          <w:b w:val="0"/>
          <w:i w:val="0"/>
          <w:color w:val="111827"/>
          <w:sz w:val="24"/>
        </w:rPr>
        <w:t>The project methodology follows an empirical engineering lifecycle: (1) Ingestion &amp; Evidence Hashing: Ingesting raw RFC-822 files and generating SHA-256 hashes committed to an append-only audit trail; (2) Header Parsing &amp; Routing Reconstruction: Decoding MIME headers, traversing Received: hops, resolving BGP ASNs, and evaluating cryptographic authentication matrices; (3) Multi-Model Machine Learning Inference: Running specialized models in parallel for phishing text, BEC urgency, and lookalike domain detection; (4) Network Telemetry Sniffing: Passive packet sniffing via Npcap, 5-tuple flow aggregation, and classification through Model 4/5; (5) Bayesian Signal Fusion: Synthesizing multi-vector scores into an explainable 0–100 risk score while enforcing evidentiary neutrality; and (6) Report Generation: Automated compilation of cryptographically sealed forensic dossiers using ReportLab.</w:t>
      </w:r>
    </w:p>
    <w:p>
      <w:pPr>
        <w:spacing w:before="200" w:after="80"/>
        <w:jc w:val="left"/>
      </w:pPr>
      <w:r>
        <w:rPr>
          <w:rFonts w:ascii="Times New Roman" w:hAnsi="Times New Roman"/>
          <w:b/>
          <w:color w:val="1E293B"/>
          <w:sz w:val="24"/>
        </w:rPr>
        <w:t>7. Current Development Status (Interim MTE Milestone)</w:t>
      </w:r>
    </w:p>
    <w:p>
      <w:pPr>
        <w:spacing w:after="120" w:before="0" w:line="288" w:lineRule="auto"/>
        <w:jc w:val="both"/>
      </w:pPr>
      <w:r>
        <w:rPr>
          <w:rFonts w:ascii="Times New Roman" w:hAnsi="Times New Roman"/>
          <w:b w:val="0"/>
          <w:i w:val="0"/>
          <w:color w:val="111827"/>
          <w:sz w:val="24"/>
        </w:rPr>
        <w:t>At the 7th Semester MTE milestone: The comprehensive literature review across email phishing, BEC, lookalike domains, network intrusion benchmarks, and digital evidence standards has been fully completed. The foundational Introduction and Literature Review sections of the prospective research paper have been drafted. Five foundational research gaps have been identified and defined. The core functional modules—including RFC-822 parsing, SHA-256 hashing, Models 1, 2, 3A, 3B, 4/5 (NSL-KDD Random Forest), Scapy Npcap live wire sniffing, Signal Fusion scoring, and ReportLab PDF report generation—have been implemented and verified within the repository. The React 18 + Vite dark-mode SOC dashboard is operational and communicates with the FastAPI backend.</w:t>
      </w:r>
    </w:p>
    <w:p>
      <w:pPr>
        <w:spacing w:before="200" w:after="80"/>
        <w:jc w:val="left"/>
      </w:pPr>
      <w:r>
        <w:rPr>
          <w:rFonts w:ascii="Times New Roman" w:hAnsi="Times New Roman"/>
          <w:b/>
          <w:color w:val="1E293B"/>
          <w:sz w:val="24"/>
        </w:rPr>
        <w:t>8. Expected Contribution</w:t>
      </w:r>
    </w:p>
    <w:p>
      <w:pPr>
        <w:spacing w:after="120" w:before="0" w:line="288" w:lineRule="auto"/>
        <w:jc w:val="both"/>
      </w:pPr>
      <w:r>
        <w:rPr>
          <w:rFonts w:ascii="Times New Roman" w:hAnsi="Times New Roman"/>
          <w:b w:val="0"/>
          <w:i w:val="0"/>
          <w:color w:val="111827"/>
          <w:sz w:val="24"/>
        </w:rPr>
        <w:t>Upon final completion, ANVESH will deliver: (1) A unified, zero-fabrication forensic intelligence platform eliminating tool fragmentation for SOC analysts; (2) An effective defense against 'Authenticated BEC' attacks by decoupling behavioral threat modeling from cryptographic transport authentication; and (3) A legally sound digital forensic framework that strictly separates technical infrastructure observables from human actor attribution, guaranteeing legal admissibility.</w:t>
      </w:r>
    </w:p>
    <w:p>
      <w:pPr>
        <w:spacing w:before="200" w:after="80"/>
        <w:jc w:val="left"/>
      </w:pPr>
      <w:r>
        <w:rPr>
          <w:rFonts w:ascii="Times New Roman" w:hAnsi="Times New Roman"/>
          <w:b/>
          <w:color w:val="1E293B"/>
          <w:sz w:val="24"/>
        </w:rPr>
        <w:t>9. Current Limitations</w:t>
      </w:r>
    </w:p>
    <w:p>
      <w:pPr>
        <w:spacing w:after="120" w:before="0" w:line="288" w:lineRule="auto"/>
        <w:jc w:val="both"/>
      </w:pPr>
      <w:r>
        <w:rPr>
          <w:rFonts w:ascii="Times New Roman" w:hAnsi="Times New Roman"/>
          <w:b w:val="0"/>
          <w:i w:val="0"/>
          <w:color w:val="111827"/>
          <w:sz w:val="24"/>
        </w:rPr>
        <w:t>The current interim prototype possesses acknowledged limitations: (1) Language Specificity: Models 1 and 2 are trained on English-language corpora; (2) Passive Sniffing Throughput: Python-based Scapy packet capture is suitable for desktop and local testbed traffic but lacks DPDK kernel-bypass acceleration for multi-gigabit enterprise trunks; (3) Threat Intel Connectivity: Deep reputation enrichment relies on external network connectivity, falling back to local heuristics in air-gapped environments; and (4) Non-Attribution Ceiling: The system strictly maps technical infrastructure and transit routing, never physical human operators without lawful subscriber subpoenas.</w:t>
      </w:r>
    </w:p>
    <w:p>
      <w:pPr>
        <w:spacing w:before="200" w:after="80"/>
        <w:jc w:val="left"/>
      </w:pPr>
      <w:r>
        <w:rPr>
          <w:rFonts w:ascii="Times New Roman" w:hAnsi="Times New Roman"/>
          <w:b/>
          <w:color w:val="1E293B"/>
          <w:sz w:val="24"/>
        </w:rPr>
        <w:t>10. Future Direction</w:t>
      </w:r>
    </w:p>
    <w:p>
      <w:pPr>
        <w:spacing w:after="120" w:before="0" w:line="288" w:lineRule="auto"/>
        <w:jc w:val="both"/>
      </w:pPr>
      <w:r>
        <w:rPr>
          <w:rFonts w:ascii="Times New Roman" w:hAnsi="Times New Roman"/>
          <w:b w:val="0"/>
          <w:i w:val="0"/>
          <w:color w:val="111827"/>
          <w:sz w:val="24"/>
        </w:rPr>
        <w:t>Subsequent project phases leading to the End-Term milestone will focus on: (1) Implementing optical extraction for QR-code phishing ('Quishing') lures via computer vision; (2) Building an automated Section 65B Electronic Evidence Certificate generator compliant with Indian Evidence Law; (3) Conducting formal high-volume benchmark testing; and (4) Finalizing the full Capstone Project Report and submitting the empirical research paper.</w:t>
      </w:r>
    </w:p>
    <w:p>
      <w:r>
        <w:br w:type="page"/>
      </w:r>
    </w:p>
    <w:p>
      <w:pPr>
        <w:spacing w:before="360" w:after="240"/>
        <w:jc w:val="center"/>
      </w:pPr>
      <w:r>
        <w:rPr>
          <w:rFonts w:ascii="Times New Roman" w:hAnsi="Times New Roman"/>
          <w:b/>
          <w:color w:val="0F172A"/>
          <w:sz w:val="32"/>
        </w:rPr>
        <w:t>TABLE OF CONTENTS</w:t>
      </w:r>
    </w:p>
    <w:tbl>
      <w:tblPr>
        <w:tblW w:type="auto" w:w="0"/>
        <w:jc w:val="center"/>
        <w:tblLayout w:type="fixed"/>
        <w:tblLook w:firstColumn="1" w:firstRow="1" w:lastColumn="0" w:lastRow="0" w:noHBand="0" w:noVBand="1" w:val="04A0"/>
      </w:tblPr>
      <w:tblGrid>
        <w:gridCol w:w="7632"/>
        <w:gridCol w:w="1584"/>
      </w:tblGrid>
      <w:tr>
        <w:tc>
          <w:tcPr>
            <w:tcW w:type="dxa" w:w="4513"/>
            <w:shd w:fill="F1F5F9"/>
          </w:tcPr>
          <w:p>
            <w:r>
              <w:rPr>
                <w:b/>
              </w:rPr>
              <w:t>Section / Chapter Title</w:t>
            </w:r>
          </w:p>
        </w:tc>
        <w:tc>
          <w:tcPr>
            <w:tcW w:type="dxa" w:w="4513"/>
            <w:shd w:fill="F1F5F9"/>
          </w:tcPr>
          <w:p>
            <w:r>
              <w:rPr>
                <w:b/>
              </w:rPr>
              <w:t>Page No.</w:t>
            </w:r>
          </w:p>
        </w:tc>
      </w:tr>
      <w:tr>
        <w:tc>
          <w:tcPr>
            <w:tcW w:type="dxa" w:w="4513"/>
          </w:tcPr>
          <w:p>
            <w:r>
              <w:rPr>
                <w:b/>
              </w:rPr>
              <w:t>Cover Page</w:t>
            </w:r>
          </w:p>
        </w:tc>
        <w:tc>
          <w:tcPr>
            <w:tcW w:type="dxa" w:w="4513"/>
          </w:tcPr>
          <w:p>
            <w:pPr>
              <w:jc w:val="right"/>
            </w:pPr>
            <w:r>
              <w:rPr>
                <w:b/>
              </w:rPr>
              <w:t>i</w:t>
            </w:r>
          </w:p>
        </w:tc>
      </w:tr>
      <w:tr>
        <w:tc>
          <w:tcPr>
            <w:tcW w:type="dxa" w:w="4513"/>
          </w:tcPr>
          <w:p>
            <w:r>
              <w:t>Progress Approval Form from Guide (Appendix-1)</w:t>
            </w:r>
          </w:p>
        </w:tc>
        <w:tc>
          <w:tcPr>
            <w:tcW w:type="dxa" w:w="4513"/>
          </w:tcPr>
          <w:p>
            <w:pPr>
              <w:jc w:val="right"/>
            </w:pPr>
            <w:r>
              <w:t>ii</w:t>
            </w:r>
          </w:p>
        </w:tc>
      </w:tr>
      <w:tr>
        <w:tc>
          <w:tcPr>
            <w:tcW w:type="dxa" w:w="4513"/>
          </w:tcPr>
          <w:p>
            <w:r>
              <w:rPr>
                <w:b/>
              </w:rPr>
              <w:t>Synopsis</w:t>
            </w:r>
          </w:p>
        </w:tc>
        <w:tc>
          <w:tcPr>
            <w:tcW w:type="dxa" w:w="4513"/>
          </w:tcPr>
          <w:p>
            <w:pPr>
              <w:jc w:val="right"/>
            </w:pPr>
            <w:r>
              <w:rPr>
                <w:b/>
              </w:rPr>
              <w:t>iii</w:t>
            </w:r>
          </w:p>
        </w:tc>
      </w:tr>
      <w:tr>
        <w:tc>
          <w:tcPr>
            <w:tcW w:type="dxa" w:w="4513"/>
          </w:tcPr>
          <w:p>
            <w:r>
              <w:t>Table of Contents</w:t>
            </w:r>
          </w:p>
        </w:tc>
        <w:tc>
          <w:tcPr>
            <w:tcW w:type="dxa" w:w="4513"/>
          </w:tcPr>
          <w:p>
            <w:pPr>
              <w:jc w:val="right"/>
            </w:pPr>
            <w:r>
              <w:t>vi</w:t>
            </w:r>
          </w:p>
        </w:tc>
      </w:tr>
      <w:tr>
        <w:tc>
          <w:tcPr>
            <w:tcW w:type="dxa" w:w="4513"/>
          </w:tcPr>
          <w:p>
            <w:r>
              <w:t>List of Figures</w:t>
            </w:r>
          </w:p>
        </w:tc>
        <w:tc>
          <w:tcPr>
            <w:tcW w:type="dxa" w:w="4513"/>
          </w:tcPr>
          <w:p>
            <w:pPr>
              <w:jc w:val="right"/>
            </w:pPr>
            <w:r>
              <w:t>vii</w:t>
            </w:r>
          </w:p>
        </w:tc>
      </w:tr>
      <w:tr>
        <w:tc>
          <w:tcPr>
            <w:tcW w:type="dxa" w:w="4513"/>
          </w:tcPr>
          <w:p>
            <w:r>
              <w:t>List of Tables</w:t>
            </w:r>
          </w:p>
        </w:tc>
        <w:tc>
          <w:tcPr>
            <w:tcW w:type="dxa" w:w="4513"/>
          </w:tcPr>
          <w:p>
            <w:pPr>
              <w:jc w:val="right"/>
            </w:pPr>
            <w:r>
              <w:t>viii</w:t>
            </w:r>
          </w:p>
        </w:tc>
      </w:tr>
      <w:tr>
        <w:tc>
          <w:tcPr>
            <w:tcW w:type="dxa" w:w="4513"/>
          </w:tcPr>
          <w:p>
            <w:r>
              <w:t>List of Symbols / Abbreviations</w:t>
            </w:r>
          </w:p>
        </w:tc>
        <w:tc>
          <w:tcPr>
            <w:tcW w:type="dxa" w:w="4513"/>
          </w:tcPr>
          <w:p>
            <w:pPr>
              <w:jc w:val="right"/>
            </w:pPr>
            <w:r>
              <w:t>ix</w:t>
            </w:r>
          </w:p>
        </w:tc>
      </w:tr>
      <w:tr>
        <w:tc>
          <w:tcPr>
            <w:tcW w:type="dxa" w:w="4513"/>
          </w:tcPr>
          <w:p>
            <w:r>
              <w:rPr>
                <w:b/>
              </w:rPr>
              <w:t>CHAPTER 1: INTRODUCTION</w:t>
            </w:r>
          </w:p>
        </w:tc>
        <w:tc>
          <w:tcPr>
            <w:tcW w:type="dxa" w:w="4513"/>
          </w:tcPr>
          <w:p>
            <w:pPr>
              <w:jc w:val="right"/>
            </w:pPr>
            <w:r>
              <w:rPr>
                <w:b/>
              </w:rPr>
              <w:t>1</w:t>
            </w:r>
          </w:p>
        </w:tc>
      </w:tr>
      <w:tr>
        <w:tc>
          <w:tcPr>
            <w:tcW w:type="dxa" w:w="4513"/>
          </w:tcPr>
          <w:p>
            <w:r>
              <w:t xml:space="preserve">    1.1 Background of the Problem</w:t>
            </w:r>
          </w:p>
        </w:tc>
        <w:tc>
          <w:tcPr>
            <w:tcW w:type="dxa" w:w="4513"/>
          </w:tcPr>
          <w:p>
            <w:pPr>
              <w:jc w:val="right"/>
            </w:pPr>
            <w:r>
              <w:t>1</w:t>
            </w:r>
          </w:p>
        </w:tc>
      </w:tr>
      <w:tr>
        <w:tc>
          <w:tcPr>
            <w:tcW w:type="dxa" w:w="4513"/>
          </w:tcPr>
          <w:p>
            <w:r>
              <w:t xml:space="preserve">    1.2 Motivation and Significance</w:t>
            </w:r>
          </w:p>
        </w:tc>
        <w:tc>
          <w:tcPr>
            <w:tcW w:type="dxa" w:w="4513"/>
          </w:tcPr>
          <w:p>
            <w:pPr>
              <w:jc w:val="right"/>
            </w:pPr>
            <w:r>
              <w:t>3</w:t>
            </w:r>
          </w:p>
        </w:tc>
      </w:tr>
      <w:tr>
        <w:tc>
          <w:tcPr>
            <w:tcW w:type="dxa" w:w="4513"/>
          </w:tcPr>
          <w:p>
            <w:r>
              <w:t xml:space="preserve">    1.3 Problem Statement</w:t>
            </w:r>
          </w:p>
        </w:tc>
        <w:tc>
          <w:tcPr>
            <w:tcW w:type="dxa" w:w="4513"/>
          </w:tcPr>
          <w:p>
            <w:pPr>
              <w:jc w:val="right"/>
            </w:pPr>
            <w:r>
              <w:t>5</w:t>
            </w:r>
          </w:p>
        </w:tc>
      </w:tr>
      <w:tr>
        <w:tc>
          <w:tcPr>
            <w:tcW w:type="dxa" w:w="4513"/>
          </w:tcPr>
          <w:p>
            <w:r>
              <w:t xml:space="preserve">    1.4 Objectives of the Project</w:t>
            </w:r>
          </w:p>
        </w:tc>
        <w:tc>
          <w:tcPr>
            <w:tcW w:type="dxa" w:w="4513"/>
          </w:tcPr>
          <w:p>
            <w:pPr>
              <w:jc w:val="right"/>
            </w:pPr>
            <w:r>
              <w:t>7</w:t>
            </w:r>
          </w:p>
        </w:tc>
      </w:tr>
      <w:tr>
        <w:tc>
          <w:tcPr>
            <w:tcW w:type="dxa" w:w="4513"/>
          </w:tcPr>
          <w:p>
            <w:r>
              <w:t xml:space="preserve">    1.5 Scope of the Project</w:t>
            </w:r>
          </w:p>
        </w:tc>
        <w:tc>
          <w:tcPr>
            <w:tcW w:type="dxa" w:w="4513"/>
          </w:tcPr>
          <w:p>
            <w:pPr>
              <w:jc w:val="right"/>
            </w:pPr>
            <w:r>
              <w:t>9</w:t>
            </w:r>
          </w:p>
        </w:tc>
      </w:tr>
      <w:tr>
        <w:tc>
          <w:tcPr>
            <w:tcW w:type="dxa" w:w="4513"/>
          </w:tcPr>
          <w:p>
            <w:r>
              <w:t xml:space="preserve">    1.6 Limitations of the Study</w:t>
            </w:r>
          </w:p>
        </w:tc>
        <w:tc>
          <w:tcPr>
            <w:tcW w:type="dxa" w:w="4513"/>
          </w:tcPr>
          <w:p>
            <w:pPr>
              <w:jc w:val="right"/>
            </w:pPr>
            <w:r>
              <w:t>11</w:t>
            </w:r>
          </w:p>
        </w:tc>
      </w:tr>
      <w:tr>
        <w:tc>
          <w:tcPr>
            <w:tcW w:type="dxa" w:w="4513"/>
          </w:tcPr>
          <w:p>
            <w:r>
              <w:t xml:space="preserve">    1.7 Organization of the Report</w:t>
            </w:r>
          </w:p>
        </w:tc>
        <w:tc>
          <w:tcPr>
            <w:tcW w:type="dxa" w:w="4513"/>
          </w:tcPr>
          <w:p>
            <w:pPr>
              <w:jc w:val="right"/>
            </w:pPr>
            <w:r>
              <w:t>12</w:t>
            </w:r>
          </w:p>
        </w:tc>
      </w:tr>
      <w:tr>
        <w:tc>
          <w:tcPr>
            <w:tcW w:type="dxa" w:w="4513"/>
          </w:tcPr>
          <w:p>
            <w:r>
              <w:rPr>
                <w:b/>
              </w:rPr>
              <w:t>CHAPTER 2: LITERATURE REVIEW</w:t>
            </w:r>
          </w:p>
        </w:tc>
        <w:tc>
          <w:tcPr>
            <w:tcW w:type="dxa" w:w="4513"/>
          </w:tcPr>
          <w:p>
            <w:pPr>
              <w:jc w:val="right"/>
            </w:pPr>
            <w:r>
              <w:rPr>
                <w:b/>
              </w:rPr>
              <w:t>13</w:t>
            </w:r>
          </w:p>
        </w:tc>
      </w:tr>
      <w:tr>
        <w:tc>
          <w:tcPr>
            <w:tcW w:type="dxa" w:w="4513"/>
          </w:tcPr>
          <w:p>
            <w:r>
              <w:t xml:space="preserve">    2.1 Review of Existing Systems / Techniques</w:t>
            </w:r>
          </w:p>
        </w:tc>
        <w:tc>
          <w:tcPr>
            <w:tcW w:type="dxa" w:w="4513"/>
          </w:tcPr>
          <w:p>
            <w:pPr>
              <w:jc w:val="right"/>
            </w:pPr>
            <w:r>
              <w:t>13</w:t>
            </w:r>
          </w:p>
        </w:tc>
      </w:tr>
      <w:tr>
        <w:tc>
          <w:tcPr>
            <w:tcW w:type="dxa" w:w="4513"/>
          </w:tcPr>
          <w:p>
            <w:r>
              <w:t xml:space="preserve">    2.2 Review of Related Research Work</w:t>
            </w:r>
          </w:p>
        </w:tc>
        <w:tc>
          <w:tcPr>
            <w:tcW w:type="dxa" w:w="4513"/>
          </w:tcPr>
          <w:p>
            <w:pPr>
              <w:jc w:val="right"/>
            </w:pPr>
            <w:r>
              <w:t>16</w:t>
            </w:r>
          </w:p>
        </w:tc>
      </w:tr>
      <w:tr>
        <w:tc>
          <w:tcPr>
            <w:tcW w:type="dxa" w:w="4513"/>
          </w:tcPr>
          <w:p>
            <w:r>
              <w:t xml:space="preserve">    2.3 Comparative Analysis of Existing Approaches</w:t>
            </w:r>
          </w:p>
        </w:tc>
        <w:tc>
          <w:tcPr>
            <w:tcW w:type="dxa" w:w="4513"/>
          </w:tcPr>
          <w:p>
            <w:pPr>
              <w:jc w:val="right"/>
            </w:pPr>
            <w:r>
              <w:t>21</w:t>
            </w:r>
          </w:p>
        </w:tc>
      </w:tr>
      <w:tr>
        <w:tc>
          <w:tcPr>
            <w:tcW w:type="dxa" w:w="4513"/>
          </w:tcPr>
          <w:p>
            <w:r>
              <w:t xml:space="preserve">    2.4 Identification of Research Gaps</w:t>
            </w:r>
          </w:p>
        </w:tc>
        <w:tc>
          <w:tcPr>
            <w:tcW w:type="dxa" w:w="4513"/>
          </w:tcPr>
          <w:p>
            <w:pPr>
              <w:jc w:val="right"/>
            </w:pPr>
            <w:r>
              <w:t>24</w:t>
            </w:r>
          </w:p>
        </w:tc>
      </w:tr>
      <w:tr>
        <w:tc>
          <w:tcPr>
            <w:tcW w:type="dxa" w:w="4513"/>
          </w:tcPr>
          <w:p>
            <w:r>
              <w:t xml:space="preserve">    2.5 Summary of Literature Findings</w:t>
            </w:r>
          </w:p>
        </w:tc>
        <w:tc>
          <w:tcPr>
            <w:tcW w:type="dxa" w:w="4513"/>
          </w:tcPr>
          <w:p>
            <w:pPr>
              <w:jc w:val="right"/>
            </w:pPr>
            <w:r>
              <w:t>27</w:t>
            </w:r>
          </w:p>
        </w:tc>
      </w:tr>
      <w:tr>
        <w:tc>
          <w:tcPr>
            <w:tcW w:type="dxa" w:w="4513"/>
          </w:tcPr>
          <w:p>
            <w:r>
              <w:rPr>
                <w:b/>
              </w:rPr>
              <w:t>REFERENCES</w:t>
            </w:r>
          </w:p>
        </w:tc>
        <w:tc>
          <w:tcPr>
            <w:tcW w:type="dxa" w:w="4513"/>
          </w:tcPr>
          <w:p>
            <w:pPr>
              <w:jc w:val="right"/>
            </w:pPr>
            <w:r>
              <w:rPr>
                <w:b/>
              </w:rPr>
              <w:t>29</w:t>
            </w:r>
          </w:p>
        </w:tc>
      </w:tr>
    </w:tbl>
    <w:p>
      <w:r>
        <w:br w:type="page"/>
      </w:r>
    </w:p>
    <w:p>
      <w:pPr>
        <w:spacing w:before="360" w:after="240"/>
        <w:jc w:val="center"/>
      </w:pPr>
      <w:r>
        <w:rPr>
          <w:rFonts w:ascii="Times New Roman" w:hAnsi="Times New Roman"/>
          <w:b/>
          <w:color w:val="0F172A"/>
          <w:sz w:val="32"/>
        </w:rPr>
        <w:t>LIST OF FIGURES</w:t>
      </w:r>
    </w:p>
    <w:tbl>
      <w:tblPr>
        <w:tblW w:type="auto" w:w="0"/>
        <w:jc w:val="center"/>
        <w:tblLook w:firstColumn="1" w:firstRow="1" w:lastColumn="0" w:lastRow="0" w:noHBand="0" w:noVBand="1" w:val="04A0"/>
      </w:tblPr>
      <w:tblGrid>
        <w:gridCol w:w="1728"/>
        <w:gridCol w:w="6048"/>
        <w:gridCol w:w="1440"/>
      </w:tblGrid>
      <w:tr>
        <w:tc>
          <w:tcPr>
            <w:tcW w:type="dxa" w:w="3009"/>
            <w:shd w:fill="F1F5F9"/>
          </w:tcPr>
          <w:p>
            <w:r>
              <w:rPr>
                <w:b/>
              </w:rPr>
              <w:t>Figure No.</w:t>
            </w:r>
          </w:p>
        </w:tc>
        <w:tc>
          <w:tcPr>
            <w:tcW w:type="dxa" w:w="3009"/>
            <w:shd w:fill="F1F5F9"/>
          </w:tcPr>
          <w:p>
            <w:r>
              <w:rPr>
                <w:b/>
              </w:rPr>
              <w:t>Caption / Title of Figure</w:t>
            </w:r>
          </w:p>
        </w:tc>
        <w:tc>
          <w:tcPr>
            <w:tcW w:type="dxa" w:w="3009"/>
            <w:shd w:fill="F1F5F9"/>
          </w:tcPr>
          <w:p>
            <w:r>
              <w:rPr>
                <w:b/>
              </w:rPr>
              <w:t>Page No.</w:t>
            </w:r>
          </w:p>
        </w:tc>
      </w:tr>
      <w:tr>
        <w:tc>
          <w:tcPr>
            <w:tcW w:type="dxa" w:w="3009"/>
          </w:tcPr>
          <w:p>
            <w:r>
              <w:t>Figure 1.1</w:t>
            </w:r>
          </w:p>
        </w:tc>
        <w:tc>
          <w:tcPr>
            <w:tcW w:type="dxa" w:w="3009"/>
          </w:tcPr>
          <w:p>
            <w:r>
              <w:t>Conceptual Multi-Vector Cyber Attack Landscape: Phishing, BEC, Homoglyphs, and Network Anomalies</w:t>
            </w:r>
          </w:p>
        </w:tc>
        <w:tc>
          <w:tcPr>
            <w:tcW w:type="dxa" w:w="3009"/>
          </w:tcPr>
          <w:p>
            <w:pPr>
              <w:jc w:val="right"/>
            </w:pPr>
            <w:r>
              <w:t>2</w:t>
            </w:r>
          </w:p>
        </w:tc>
      </w:tr>
      <w:tr>
        <w:tc>
          <w:tcPr>
            <w:tcW w:type="dxa" w:w="3009"/>
          </w:tcPr>
          <w:p>
            <w:r>
              <w:t>Figure 1.2</w:t>
            </w:r>
          </w:p>
        </w:tc>
        <w:tc>
          <w:tcPr>
            <w:tcW w:type="dxa" w:w="3009"/>
          </w:tcPr>
          <w:p>
            <w:r>
              <w:t>High-Level Conceptual Overview of the ANVESH Unified Forensic Intelligence Architecture</w:t>
            </w:r>
          </w:p>
        </w:tc>
        <w:tc>
          <w:tcPr>
            <w:tcW w:type="dxa" w:w="3009"/>
          </w:tcPr>
          <w:p>
            <w:pPr>
              <w:jc w:val="right"/>
            </w:pPr>
            <w:r>
              <w:t>6</w:t>
            </w:r>
          </w:p>
        </w:tc>
      </w:tr>
      <w:tr>
        <w:tc>
          <w:tcPr>
            <w:tcW w:type="dxa" w:w="3009"/>
          </w:tcPr>
          <w:p>
            <w:r>
              <w:t>Figure 2.1</w:t>
            </w:r>
          </w:p>
        </w:tc>
        <w:tc>
          <w:tcPr>
            <w:tcW w:type="dxa" w:w="3009"/>
          </w:tcPr>
          <w:p>
            <w:r>
              <w:t>Taxonomy of Modern Threat Detection Paradigms: Rule-Based, Behavioral, and Multi-Signal Fusion</w:t>
            </w:r>
          </w:p>
        </w:tc>
        <w:tc>
          <w:tcPr>
            <w:tcW w:type="dxa" w:w="3009"/>
          </w:tcPr>
          <w:p>
            <w:pPr>
              <w:jc w:val="right"/>
            </w:pPr>
            <w:r>
              <w:t>15</w:t>
            </w:r>
          </w:p>
        </w:tc>
      </w:tr>
      <w:tr>
        <w:tc>
          <w:tcPr>
            <w:tcW w:type="dxa" w:w="3009"/>
          </w:tcPr>
          <w:p>
            <w:r>
              <w:t>Figure 2.2</w:t>
            </w:r>
          </w:p>
        </w:tc>
        <w:tc>
          <w:tcPr>
            <w:tcW w:type="dxa" w:w="3009"/>
          </w:tcPr>
          <w:p>
            <w:r>
              <w:t>Research Gap Landscape: The Disconnect Between Application-Layer Email Threat Detection, Network Telemetry, and Digital Evidence Admissibility</w:t>
            </w:r>
          </w:p>
        </w:tc>
        <w:tc>
          <w:tcPr>
            <w:tcW w:type="dxa" w:w="3009"/>
          </w:tcPr>
          <w:p>
            <w:pPr>
              <w:jc w:val="right"/>
            </w:pPr>
            <w:r>
              <w:t>25</w:t>
            </w:r>
          </w:p>
        </w:tc>
      </w:tr>
    </w:tbl>
    <w:p>
      <w:pPr>
        <w:spacing w:after="360" w:before="0" w:line="288" w:lineRule="auto"/>
        <w:jc w:val="both"/>
      </w:pPr>
      <w:r>
        <w:rPr>
          <w:rFonts w:ascii="Times New Roman" w:hAnsi="Times New Roman"/>
          <w:b w:val="0"/>
          <w:i w:val="0"/>
          <w:color w:val="111827"/>
          <w:sz w:val="24"/>
        </w:rPr>
      </w:r>
    </w:p>
    <w:p>
      <w:pPr>
        <w:spacing w:before="360" w:after="240"/>
        <w:jc w:val="center"/>
      </w:pPr>
      <w:r>
        <w:rPr>
          <w:rFonts w:ascii="Times New Roman" w:hAnsi="Times New Roman"/>
          <w:b/>
          <w:color w:val="0F172A"/>
          <w:sz w:val="32"/>
        </w:rPr>
        <w:t>LIST OF TABLES</w:t>
      </w:r>
    </w:p>
    <w:tbl>
      <w:tblPr>
        <w:tblW w:type="auto" w:w="0"/>
        <w:jc w:val="center"/>
        <w:tblLook w:firstColumn="1" w:firstRow="1" w:lastColumn="0" w:lastRow="0" w:noHBand="0" w:noVBand="1" w:val="04A0"/>
      </w:tblPr>
      <w:tblGrid>
        <w:gridCol w:w="1728"/>
        <w:gridCol w:w="6048"/>
        <w:gridCol w:w="1440"/>
      </w:tblGrid>
      <w:tr>
        <w:tc>
          <w:tcPr>
            <w:tcW w:type="dxa" w:w="3009"/>
            <w:shd w:fill="F1F5F9"/>
          </w:tcPr>
          <w:p>
            <w:r>
              <w:rPr>
                <w:b/>
              </w:rPr>
              <w:t>Table No.</w:t>
            </w:r>
          </w:p>
        </w:tc>
        <w:tc>
          <w:tcPr>
            <w:tcW w:type="dxa" w:w="3009"/>
            <w:shd w:fill="F1F5F9"/>
          </w:tcPr>
          <w:p>
            <w:r>
              <w:rPr>
                <w:b/>
              </w:rPr>
              <w:t>Caption / Title of Table</w:t>
            </w:r>
          </w:p>
        </w:tc>
        <w:tc>
          <w:tcPr>
            <w:tcW w:type="dxa" w:w="3009"/>
            <w:shd w:fill="F1F5F9"/>
          </w:tcPr>
          <w:p>
            <w:r>
              <w:rPr>
                <w:b/>
              </w:rPr>
              <w:t>Page No.</w:t>
            </w:r>
          </w:p>
        </w:tc>
      </w:tr>
      <w:tr>
        <w:tc>
          <w:tcPr>
            <w:tcW w:type="dxa" w:w="3009"/>
          </w:tcPr>
          <w:p>
            <w:r>
              <w:t>Table 1.1</w:t>
            </w:r>
          </w:p>
        </w:tc>
        <w:tc>
          <w:tcPr>
            <w:tcW w:type="dxa" w:w="3009"/>
          </w:tcPr>
          <w:p>
            <w:r>
              <w:t>ANVESH Project Objectives and Technical Implementation Alignment</w:t>
            </w:r>
          </w:p>
        </w:tc>
        <w:tc>
          <w:tcPr>
            <w:tcW w:type="dxa" w:w="3009"/>
          </w:tcPr>
          <w:p>
            <w:pPr>
              <w:jc w:val="right"/>
            </w:pPr>
            <w:r>
              <w:t>8</w:t>
            </w:r>
          </w:p>
        </w:tc>
      </w:tr>
      <w:tr>
        <w:tc>
          <w:tcPr>
            <w:tcW w:type="dxa" w:w="3009"/>
          </w:tcPr>
          <w:p>
            <w:r>
              <w:t>Table 1.2</w:t>
            </w:r>
          </w:p>
        </w:tc>
        <w:tc>
          <w:tcPr>
            <w:tcW w:type="dxa" w:w="3009"/>
          </w:tcPr>
          <w:p>
            <w:r>
              <w:t>Scope Boundaries and Operational Invariants of the ANVESH Platform</w:t>
            </w:r>
          </w:p>
        </w:tc>
        <w:tc>
          <w:tcPr>
            <w:tcW w:type="dxa" w:w="3009"/>
          </w:tcPr>
          <w:p>
            <w:pPr>
              <w:jc w:val="right"/>
            </w:pPr>
            <w:r>
              <w:t>10</w:t>
            </w:r>
          </w:p>
        </w:tc>
      </w:tr>
      <w:tr>
        <w:tc>
          <w:tcPr>
            <w:tcW w:type="dxa" w:w="3009"/>
          </w:tcPr>
          <w:p>
            <w:r>
              <w:t>Table 2.1</w:t>
            </w:r>
          </w:p>
        </w:tc>
        <w:tc>
          <w:tcPr>
            <w:tcW w:type="dxa" w:w="3009"/>
          </w:tcPr>
          <w:p>
            <w:r>
              <w:t>Comprehensive Summary of Reviewed Academic Research Works (2018–2026)</w:t>
            </w:r>
          </w:p>
        </w:tc>
        <w:tc>
          <w:tcPr>
            <w:tcW w:type="dxa" w:w="3009"/>
          </w:tcPr>
          <w:p>
            <w:pPr>
              <w:jc w:val="right"/>
            </w:pPr>
            <w:r>
              <w:t>17</w:t>
            </w:r>
          </w:p>
        </w:tc>
      </w:tr>
      <w:tr>
        <w:tc>
          <w:tcPr>
            <w:tcW w:type="dxa" w:w="3009"/>
          </w:tcPr>
          <w:p>
            <w:r>
              <w:t>Table 2.2</w:t>
            </w:r>
          </w:p>
        </w:tc>
        <w:tc>
          <w:tcPr>
            <w:tcW w:type="dxa" w:w="3009"/>
          </w:tcPr>
          <w:p>
            <w:r>
              <w:t>Comparative Analysis of Existing Threat Detection Methodologies vs. ANVESH</w:t>
            </w:r>
          </w:p>
        </w:tc>
        <w:tc>
          <w:tcPr>
            <w:tcW w:type="dxa" w:w="3009"/>
          </w:tcPr>
          <w:p>
            <w:pPr>
              <w:jc w:val="right"/>
            </w:pPr>
            <w:r>
              <w:t>22</w:t>
            </w:r>
          </w:p>
        </w:tc>
      </w:tr>
      <w:tr>
        <w:tc>
          <w:tcPr>
            <w:tcW w:type="dxa" w:w="3009"/>
          </w:tcPr>
          <w:p>
            <w:r>
              <w:t>Table 2.3</w:t>
            </w:r>
          </w:p>
        </w:tc>
        <w:tc>
          <w:tcPr>
            <w:tcW w:type="dxa" w:w="3009"/>
          </w:tcPr>
          <w:p>
            <w:r>
              <w:t>Identification of Fundamental Research Gaps and ANVESH Proposed Responses</w:t>
            </w:r>
          </w:p>
        </w:tc>
        <w:tc>
          <w:tcPr>
            <w:tcW w:type="dxa" w:w="3009"/>
          </w:tcPr>
          <w:p>
            <w:pPr>
              <w:jc w:val="right"/>
            </w:pPr>
            <w:r>
              <w:t>26</w:t>
            </w:r>
          </w:p>
        </w:tc>
      </w:tr>
    </w:tbl>
    <w:p>
      <w:r>
        <w:br w:type="page"/>
      </w:r>
    </w:p>
    <w:p>
      <w:pPr>
        <w:spacing w:before="360" w:after="240"/>
        <w:jc w:val="center"/>
      </w:pPr>
      <w:r>
        <w:rPr>
          <w:rFonts w:ascii="Times New Roman" w:hAnsi="Times New Roman"/>
          <w:b/>
          <w:color w:val="0F172A"/>
          <w:sz w:val="32"/>
        </w:rPr>
        <w:t>LIST OF SYMBOLS / ABBREVIATIONS</w:t>
      </w:r>
    </w:p>
    <w:tbl>
      <w:tblPr>
        <w:tblW w:type="auto" w:w="0"/>
        <w:jc w:val="center"/>
        <w:tblLook w:firstColumn="1" w:firstRow="1" w:lastColumn="0" w:lastRow="0" w:noHBand="0" w:noVBand="1" w:val="04A0"/>
      </w:tblPr>
      <w:tblGrid>
        <w:gridCol w:w="2160"/>
        <w:gridCol w:w="7056"/>
      </w:tblGrid>
      <w:tr>
        <w:tc>
          <w:tcPr>
            <w:tcW w:type="dxa" w:w="4513"/>
            <w:shd w:fill="F1F5F9"/>
          </w:tcPr>
          <w:p>
            <w:r>
              <w:rPr>
                <w:b/>
              </w:rPr>
              <w:t>Abbreviation</w:t>
            </w:r>
          </w:p>
        </w:tc>
        <w:tc>
          <w:tcPr>
            <w:tcW w:type="dxa" w:w="4513"/>
            <w:shd w:fill="F1F5F9"/>
          </w:tcPr>
          <w:p>
            <w:r>
              <w:rPr>
                <w:b/>
              </w:rPr>
              <w:t>Full Expansion / Description</w:t>
            </w:r>
          </w:p>
        </w:tc>
      </w:tr>
      <w:tr>
        <w:tc>
          <w:tcPr>
            <w:tcW w:type="dxa" w:w="4513"/>
          </w:tcPr>
          <w:p>
            <w:r>
              <w:rPr>
                <w:b/>
              </w:rPr>
              <w:t>AI</w:t>
            </w:r>
          </w:p>
        </w:tc>
        <w:tc>
          <w:tcPr>
            <w:tcW w:type="dxa" w:w="4513"/>
          </w:tcPr>
          <w:p>
            <w:r>
              <w:t>Artificial Intelligence</w:t>
            </w:r>
          </w:p>
        </w:tc>
      </w:tr>
      <w:tr>
        <w:tc>
          <w:tcPr>
            <w:tcW w:type="dxa" w:w="4513"/>
          </w:tcPr>
          <w:p>
            <w:r>
              <w:rPr>
                <w:b/>
              </w:rPr>
              <w:t>API</w:t>
            </w:r>
          </w:p>
        </w:tc>
        <w:tc>
          <w:tcPr>
            <w:tcW w:type="dxa" w:w="4513"/>
          </w:tcPr>
          <w:p>
            <w:r>
              <w:t>Application Programming Interface</w:t>
            </w:r>
          </w:p>
        </w:tc>
      </w:tr>
      <w:tr>
        <w:tc>
          <w:tcPr>
            <w:tcW w:type="dxa" w:w="4513"/>
          </w:tcPr>
          <w:p>
            <w:r>
              <w:rPr>
                <w:b/>
              </w:rPr>
              <w:t>ARFF</w:t>
            </w:r>
          </w:p>
        </w:tc>
        <w:tc>
          <w:tcPr>
            <w:tcW w:type="dxa" w:w="4513"/>
          </w:tcPr>
          <w:p>
            <w:r>
              <w:t>Attribute-Relation File Format</w:t>
            </w:r>
          </w:p>
        </w:tc>
      </w:tr>
      <w:tr>
        <w:tc>
          <w:tcPr>
            <w:tcW w:type="dxa" w:w="4513"/>
          </w:tcPr>
          <w:p>
            <w:r>
              <w:rPr>
                <w:b/>
              </w:rPr>
              <w:t>ASN</w:t>
            </w:r>
          </w:p>
        </w:tc>
        <w:tc>
          <w:tcPr>
            <w:tcW w:type="dxa" w:w="4513"/>
          </w:tcPr>
          <w:p>
            <w:r>
              <w:t>Autonomous System Number</w:t>
            </w:r>
          </w:p>
        </w:tc>
      </w:tr>
      <w:tr>
        <w:tc>
          <w:tcPr>
            <w:tcW w:type="dxa" w:w="4513"/>
          </w:tcPr>
          <w:p>
            <w:r>
              <w:rPr>
                <w:b/>
              </w:rPr>
              <w:t>BEC</w:t>
            </w:r>
          </w:p>
        </w:tc>
        <w:tc>
          <w:tcPr>
            <w:tcW w:type="dxa" w:w="4513"/>
          </w:tcPr>
          <w:p>
            <w:r>
              <w:t>Business Email Compromise</w:t>
            </w:r>
          </w:p>
        </w:tc>
      </w:tr>
      <w:tr>
        <w:tc>
          <w:tcPr>
            <w:tcW w:type="dxa" w:w="4513"/>
          </w:tcPr>
          <w:p>
            <w:r>
              <w:rPr>
                <w:b/>
              </w:rPr>
              <w:t>BGP</w:t>
            </w:r>
          </w:p>
        </w:tc>
        <w:tc>
          <w:tcPr>
            <w:tcW w:type="dxa" w:w="4513"/>
          </w:tcPr>
          <w:p>
            <w:r>
              <w:t>Border Gateway Protocol</w:t>
            </w:r>
          </w:p>
        </w:tc>
      </w:tr>
      <w:tr>
        <w:tc>
          <w:tcPr>
            <w:tcW w:type="dxa" w:w="4513"/>
          </w:tcPr>
          <w:p>
            <w:r>
              <w:rPr>
                <w:b/>
              </w:rPr>
              <w:t>C2</w:t>
            </w:r>
          </w:p>
        </w:tc>
        <w:tc>
          <w:tcPr>
            <w:tcW w:type="dxa" w:w="4513"/>
          </w:tcPr>
          <w:p>
            <w:r>
              <w:t>Command and Control</w:t>
            </w:r>
          </w:p>
        </w:tc>
      </w:tr>
      <w:tr>
        <w:tc>
          <w:tcPr>
            <w:tcW w:type="dxa" w:w="4513"/>
          </w:tcPr>
          <w:p>
            <w:r>
              <w:rPr>
                <w:b/>
              </w:rPr>
              <w:t>DKIM</w:t>
            </w:r>
          </w:p>
        </w:tc>
        <w:tc>
          <w:tcPr>
            <w:tcW w:type="dxa" w:w="4513"/>
          </w:tcPr>
          <w:p>
            <w:r>
              <w:t>DomainKeys Identified Mail (RFC 6376)</w:t>
            </w:r>
          </w:p>
        </w:tc>
      </w:tr>
      <w:tr>
        <w:tc>
          <w:tcPr>
            <w:tcW w:type="dxa" w:w="4513"/>
          </w:tcPr>
          <w:p>
            <w:r>
              <w:rPr>
                <w:b/>
              </w:rPr>
              <w:t>DMARC</w:t>
            </w:r>
          </w:p>
        </w:tc>
        <w:tc>
          <w:tcPr>
            <w:tcW w:type="dxa" w:w="4513"/>
          </w:tcPr>
          <w:p>
            <w:r>
              <w:t>Domain-based Message Authentication, Reporting and Conformance (RFC 7489)</w:t>
            </w:r>
          </w:p>
        </w:tc>
      </w:tr>
      <w:tr>
        <w:tc>
          <w:tcPr>
            <w:tcW w:type="dxa" w:w="4513"/>
          </w:tcPr>
          <w:p>
            <w:r>
              <w:rPr>
                <w:b/>
              </w:rPr>
              <w:t>DNS</w:t>
            </w:r>
          </w:p>
        </w:tc>
        <w:tc>
          <w:tcPr>
            <w:tcW w:type="dxa" w:w="4513"/>
          </w:tcPr>
          <w:p>
            <w:r>
              <w:t>Domain Name System</w:t>
            </w:r>
          </w:p>
        </w:tc>
      </w:tr>
      <w:tr>
        <w:tc>
          <w:tcPr>
            <w:tcW w:type="dxa" w:w="4513"/>
          </w:tcPr>
          <w:p>
            <w:r>
              <w:rPr>
                <w:b/>
              </w:rPr>
              <w:t>DOCX</w:t>
            </w:r>
          </w:p>
        </w:tc>
        <w:tc>
          <w:tcPr>
            <w:tcW w:type="dxa" w:w="4513"/>
          </w:tcPr>
          <w:p>
            <w:r>
              <w:t>Office Open XML Document</w:t>
            </w:r>
          </w:p>
        </w:tc>
      </w:tr>
      <w:tr>
        <w:tc>
          <w:tcPr>
            <w:tcW w:type="dxa" w:w="4513"/>
          </w:tcPr>
          <w:p>
            <w:r>
              <w:rPr>
                <w:b/>
              </w:rPr>
              <w:t>DoS</w:t>
            </w:r>
          </w:p>
        </w:tc>
        <w:tc>
          <w:tcPr>
            <w:tcW w:type="dxa" w:w="4513"/>
          </w:tcPr>
          <w:p>
            <w:r>
              <w:t>Denial of Service</w:t>
            </w:r>
          </w:p>
        </w:tc>
      </w:tr>
      <w:tr>
        <w:tc>
          <w:tcPr>
            <w:tcW w:type="dxa" w:w="4513"/>
          </w:tcPr>
          <w:p>
            <w:r>
              <w:rPr>
                <w:b/>
              </w:rPr>
              <w:t>DPDK</w:t>
            </w:r>
          </w:p>
        </w:tc>
        <w:tc>
          <w:tcPr>
            <w:tcW w:type="dxa" w:w="4513"/>
          </w:tcPr>
          <w:p>
            <w:r>
              <w:t>Data Plane Development Kit</w:t>
            </w:r>
          </w:p>
        </w:tc>
      </w:tr>
      <w:tr>
        <w:tc>
          <w:tcPr>
            <w:tcW w:type="dxa" w:w="4513"/>
          </w:tcPr>
          <w:p>
            <w:r>
              <w:rPr>
                <w:b/>
              </w:rPr>
              <w:t>EML</w:t>
            </w:r>
          </w:p>
        </w:tc>
        <w:tc>
          <w:tcPr>
            <w:tcW w:type="dxa" w:w="4513"/>
          </w:tcPr>
          <w:p>
            <w:r>
              <w:t>RFC-822 Email Message Format File</w:t>
            </w:r>
          </w:p>
        </w:tc>
      </w:tr>
      <w:tr>
        <w:tc>
          <w:tcPr>
            <w:tcW w:type="dxa" w:w="4513"/>
          </w:tcPr>
          <w:p>
            <w:r>
              <w:rPr>
                <w:b/>
              </w:rPr>
              <w:t>HTML</w:t>
            </w:r>
          </w:p>
        </w:tc>
        <w:tc>
          <w:tcPr>
            <w:tcW w:type="dxa" w:w="4513"/>
          </w:tcPr>
          <w:p>
            <w:r>
              <w:t>Hypertext Markup Language</w:t>
            </w:r>
          </w:p>
        </w:tc>
      </w:tr>
      <w:tr>
        <w:tc>
          <w:tcPr>
            <w:tcW w:type="dxa" w:w="4513"/>
          </w:tcPr>
          <w:p>
            <w:r>
              <w:rPr>
                <w:b/>
              </w:rPr>
              <w:t>HTTP</w:t>
            </w:r>
          </w:p>
        </w:tc>
        <w:tc>
          <w:tcPr>
            <w:tcW w:type="dxa" w:w="4513"/>
          </w:tcPr>
          <w:p>
            <w:r>
              <w:t>Hypertext Transfer Protocol</w:t>
            </w:r>
          </w:p>
        </w:tc>
      </w:tr>
      <w:tr>
        <w:tc>
          <w:tcPr>
            <w:tcW w:type="dxa" w:w="4513"/>
          </w:tcPr>
          <w:p>
            <w:r>
              <w:rPr>
                <w:b/>
              </w:rPr>
              <w:t>IC3</w:t>
            </w:r>
          </w:p>
        </w:tc>
        <w:tc>
          <w:tcPr>
            <w:tcW w:type="dxa" w:w="4513"/>
          </w:tcPr>
          <w:p>
            <w:r>
              <w:t>Internet Crime Complaint Center (FBI)</w:t>
            </w:r>
          </w:p>
        </w:tc>
      </w:tr>
      <w:tr>
        <w:tc>
          <w:tcPr>
            <w:tcW w:type="dxa" w:w="4513"/>
          </w:tcPr>
          <w:p>
            <w:r>
              <w:rPr>
                <w:b/>
              </w:rPr>
              <w:t>IEEE</w:t>
            </w:r>
          </w:p>
        </w:tc>
        <w:tc>
          <w:tcPr>
            <w:tcW w:type="dxa" w:w="4513"/>
          </w:tcPr>
          <w:p>
            <w:r>
              <w:t>Institute of Electrical and Electronics Engineers</w:t>
            </w:r>
          </w:p>
        </w:tc>
      </w:tr>
      <w:tr>
        <w:tc>
          <w:tcPr>
            <w:tcW w:type="dxa" w:w="4513"/>
          </w:tcPr>
          <w:p>
            <w:r>
              <w:rPr>
                <w:b/>
              </w:rPr>
              <w:t>IOC</w:t>
            </w:r>
          </w:p>
        </w:tc>
        <w:tc>
          <w:tcPr>
            <w:tcW w:type="dxa" w:w="4513"/>
          </w:tcPr>
          <w:p>
            <w:r>
              <w:t>Indicator of Compromise</w:t>
            </w:r>
          </w:p>
        </w:tc>
      </w:tr>
      <w:tr>
        <w:tc>
          <w:tcPr>
            <w:tcW w:type="dxa" w:w="4513"/>
          </w:tcPr>
          <w:p>
            <w:r>
              <w:rPr>
                <w:b/>
              </w:rPr>
              <w:t>IP</w:t>
            </w:r>
          </w:p>
        </w:tc>
        <w:tc>
          <w:tcPr>
            <w:tcW w:type="dxa" w:w="4513"/>
          </w:tcPr>
          <w:p>
            <w:r>
              <w:t>Internet Protocol</w:t>
            </w:r>
          </w:p>
        </w:tc>
      </w:tr>
      <w:tr>
        <w:tc>
          <w:tcPr>
            <w:tcW w:type="dxa" w:w="4513"/>
          </w:tcPr>
          <w:p>
            <w:r>
              <w:rPr>
                <w:b/>
              </w:rPr>
              <w:t>IPR-I</w:t>
            </w:r>
          </w:p>
        </w:tc>
        <w:tc>
          <w:tcPr>
            <w:tcW w:type="dxa" w:w="4513"/>
          </w:tcPr>
          <w:p>
            <w:r>
              <w:t>Interim Project Report-I (7th Semester MTE)</w:t>
            </w:r>
          </w:p>
        </w:tc>
      </w:tr>
      <w:tr>
        <w:tc>
          <w:tcPr>
            <w:tcW w:type="dxa" w:w="4513"/>
          </w:tcPr>
          <w:p>
            <w:r>
              <w:rPr>
                <w:b/>
              </w:rPr>
              <w:t>JSON</w:t>
            </w:r>
          </w:p>
        </w:tc>
        <w:tc>
          <w:tcPr>
            <w:tcW w:type="dxa" w:w="4513"/>
          </w:tcPr>
          <w:p>
            <w:r>
              <w:t>JavaScript Object Notation</w:t>
            </w:r>
          </w:p>
        </w:tc>
      </w:tr>
      <w:tr>
        <w:tc>
          <w:tcPr>
            <w:tcW w:type="dxa" w:w="4513"/>
          </w:tcPr>
          <w:p>
            <w:r>
              <w:rPr>
                <w:b/>
              </w:rPr>
              <w:t>KDD</w:t>
            </w:r>
          </w:p>
        </w:tc>
        <w:tc>
          <w:tcPr>
            <w:tcW w:type="dxa" w:w="4513"/>
          </w:tcPr>
          <w:p>
            <w:r>
              <w:t>Knowledge Discovery in Databases</w:t>
            </w:r>
          </w:p>
        </w:tc>
      </w:tr>
      <w:tr>
        <w:tc>
          <w:tcPr>
            <w:tcW w:type="dxa" w:w="4513"/>
          </w:tcPr>
          <w:p>
            <w:r>
              <w:rPr>
                <w:b/>
              </w:rPr>
              <w:t>LR</w:t>
            </w:r>
          </w:p>
        </w:tc>
        <w:tc>
          <w:tcPr>
            <w:tcW w:type="dxa" w:w="4513"/>
          </w:tcPr>
          <w:p>
            <w:r>
              <w:t>Logistic Regression</w:t>
            </w:r>
          </w:p>
        </w:tc>
      </w:tr>
      <w:tr>
        <w:tc>
          <w:tcPr>
            <w:tcW w:type="dxa" w:w="4513"/>
          </w:tcPr>
          <w:p>
            <w:r>
              <w:rPr>
                <w:b/>
              </w:rPr>
              <w:t>MIME</w:t>
            </w:r>
          </w:p>
        </w:tc>
        <w:tc>
          <w:tcPr>
            <w:tcW w:type="dxa" w:w="4513"/>
          </w:tcPr>
          <w:p>
            <w:r>
              <w:t>Multipurpose Internet Mail Extensions</w:t>
            </w:r>
          </w:p>
        </w:tc>
      </w:tr>
      <w:tr>
        <w:tc>
          <w:tcPr>
            <w:tcW w:type="dxa" w:w="4513"/>
          </w:tcPr>
          <w:p>
            <w:r>
              <w:rPr>
                <w:b/>
              </w:rPr>
              <w:t>ML</w:t>
            </w:r>
          </w:p>
        </w:tc>
        <w:tc>
          <w:tcPr>
            <w:tcW w:type="dxa" w:w="4513"/>
          </w:tcPr>
          <w:p>
            <w:r>
              <w:t>Machine Learning</w:t>
            </w:r>
          </w:p>
        </w:tc>
      </w:tr>
      <w:tr>
        <w:tc>
          <w:tcPr>
            <w:tcW w:type="dxa" w:w="4513"/>
          </w:tcPr>
          <w:p>
            <w:r>
              <w:rPr>
                <w:b/>
              </w:rPr>
              <w:t>MTE</w:t>
            </w:r>
          </w:p>
        </w:tc>
        <w:tc>
          <w:tcPr>
            <w:tcW w:type="dxa" w:w="4513"/>
          </w:tcPr>
          <w:p>
            <w:r>
              <w:t>Mid-Term Examination</w:t>
            </w:r>
          </w:p>
        </w:tc>
      </w:tr>
      <w:tr>
        <w:tc>
          <w:tcPr>
            <w:tcW w:type="dxa" w:w="4513"/>
          </w:tcPr>
          <w:p>
            <w:r>
              <w:rPr>
                <w:b/>
              </w:rPr>
              <w:t>NDR</w:t>
            </w:r>
          </w:p>
        </w:tc>
        <w:tc>
          <w:tcPr>
            <w:tcW w:type="dxa" w:w="4513"/>
          </w:tcPr>
          <w:p>
            <w:r>
              <w:t>Network Detection and Response</w:t>
            </w:r>
          </w:p>
        </w:tc>
      </w:tr>
      <w:tr>
        <w:tc>
          <w:tcPr>
            <w:tcW w:type="dxa" w:w="4513"/>
          </w:tcPr>
          <w:p>
            <w:r>
              <w:rPr>
                <w:b/>
              </w:rPr>
              <w:t>NLP</w:t>
            </w:r>
          </w:p>
        </w:tc>
        <w:tc>
          <w:tcPr>
            <w:tcW w:type="dxa" w:w="4513"/>
          </w:tcPr>
          <w:p>
            <w:r>
              <w:t>Natural Language Processing</w:t>
            </w:r>
          </w:p>
        </w:tc>
      </w:tr>
      <w:tr>
        <w:tc>
          <w:tcPr>
            <w:tcW w:type="dxa" w:w="4513"/>
          </w:tcPr>
          <w:p>
            <w:r>
              <w:rPr>
                <w:b/>
              </w:rPr>
              <w:t>NSL-KDD</w:t>
            </w:r>
          </w:p>
        </w:tc>
        <w:tc>
          <w:tcPr>
            <w:tcW w:type="dxa" w:w="4513"/>
          </w:tcPr>
          <w:p>
            <w:r>
              <w:t>Network Security Laboratory - Knowledge Discovery in Databases</w:t>
            </w:r>
          </w:p>
        </w:tc>
      </w:tr>
      <w:tr>
        <w:tc>
          <w:tcPr>
            <w:tcW w:type="dxa" w:w="4513"/>
          </w:tcPr>
          <w:p>
            <w:r>
              <w:rPr>
                <w:b/>
              </w:rPr>
              <w:t>NTA</w:t>
            </w:r>
          </w:p>
        </w:tc>
        <w:tc>
          <w:tcPr>
            <w:tcW w:type="dxa" w:w="4513"/>
          </w:tcPr>
          <w:p>
            <w:r>
              <w:t>Network Traffic Analysis</w:t>
            </w:r>
          </w:p>
        </w:tc>
      </w:tr>
      <w:tr>
        <w:tc>
          <w:tcPr>
            <w:tcW w:type="dxa" w:w="4513"/>
          </w:tcPr>
          <w:p>
            <w:r>
              <w:rPr>
                <w:b/>
              </w:rPr>
              <w:t>OS</w:t>
            </w:r>
          </w:p>
        </w:tc>
        <w:tc>
          <w:tcPr>
            <w:tcW w:type="dxa" w:w="4513"/>
          </w:tcPr>
          <w:p>
            <w:r>
              <w:t>Operating System</w:t>
            </w:r>
          </w:p>
        </w:tc>
      </w:tr>
      <w:tr>
        <w:tc>
          <w:tcPr>
            <w:tcW w:type="dxa" w:w="4513"/>
          </w:tcPr>
          <w:p>
            <w:r>
              <w:rPr>
                <w:b/>
              </w:rPr>
              <w:t>PCAP</w:t>
            </w:r>
          </w:p>
        </w:tc>
        <w:tc>
          <w:tcPr>
            <w:tcW w:type="dxa" w:w="4513"/>
          </w:tcPr>
          <w:p>
            <w:r>
              <w:t>Packet Capture File Format</w:t>
            </w:r>
          </w:p>
        </w:tc>
      </w:tr>
      <w:tr>
        <w:tc>
          <w:tcPr>
            <w:tcW w:type="dxa" w:w="4513"/>
          </w:tcPr>
          <w:p>
            <w:r>
              <w:rPr>
                <w:b/>
              </w:rPr>
              <w:t>PDF</w:t>
            </w:r>
          </w:p>
        </w:tc>
        <w:tc>
          <w:tcPr>
            <w:tcW w:type="dxa" w:w="4513"/>
          </w:tcPr>
          <w:p>
            <w:r>
              <w:t>Portable Document Format</w:t>
            </w:r>
          </w:p>
        </w:tc>
      </w:tr>
      <w:tr>
        <w:tc>
          <w:tcPr>
            <w:tcW w:type="dxa" w:w="4513"/>
          </w:tcPr>
          <w:p>
            <w:r>
              <w:rPr>
                <w:b/>
              </w:rPr>
              <w:t>REST</w:t>
            </w:r>
          </w:p>
        </w:tc>
        <w:tc>
          <w:tcPr>
            <w:tcW w:type="dxa" w:w="4513"/>
          </w:tcPr>
          <w:p>
            <w:r>
              <w:t>Representational State Transfer</w:t>
            </w:r>
          </w:p>
        </w:tc>
      </w:tr>
      <w:tr>
        <w:tc>
          <w:tcPr>
            <w:tcW w:type="dxa" w:w="4513"/>
          </w:tcPr>
          <w:p>
            <w:r>
              <w:rPr>
                <w:b/>
              </w:rPr>
              <w:t>RFC</w:t>
            </w:r>
          </w:p>
        </w:tc>
        <w:tc>
          <w:tcPr>
            <w:tcW w:type="dxa" w:w="4513"/>
          </w:tcPr>
          <w:p>
            <w:r>
              <w:t>Request for Comments</w:t>
            </w:r>
          </w:p>
        </w:tc>
      </w:tr>
      <w:tr>
        <w:tc>
          <w:tcPr>
            <w:tcW w:type="dxa" w:w="4513"/>
          </w:tcPr>
          <w:p>
            <w:r>
              <w:rPr>
                <w:b/>
              </w:rPr>
              <w:t>RF</w:t>
            </w:r>
          </w:p>
        </w:tc>
        <w:tc>
          <w:tcPr>
            <w:tcW w:type="dxa" w:w="4513"/>
          </w:tcPr>
          <w:p>
            <w:r>
              <w:t>Random Forest</w:t>
            </w:r>
          </w:p>
        </w:tc>
      </w:tr>
      <w:tr>
        <w:tc>
          <w:tcPr>
            <w:tcW w:type="dxa" w:w="4513"/>
          </w:tcPr>
          <w:p>
            <w:r>
              <w:rPr>
                <w:b/>
              </w:rPr>
              <w:t>RSA</w:t>
            </w:r>
          </w:p>
        </w:tc>
        <w:tc>
          <w:tcPr>
            <w:tcW w:type="dxa" w:w="4513"/>
          </w:tcPr>
          <w:p>
            <w:r>
              <w:t>Rivest–Shamir–Adleman Asymmetric Cryptosystem</w:t>
            </w:r>
          </w:p>
        </w:tc>
      </w:tr>
      <w:tr>
        <w:tc>
          <w:tcPr>
            <w:tcW w:type="dxa" w:w="4513"/>
          </w:tcPr>
          <w:p>
            <w:r>
              <w:rPr>
                <w:b/>
              </w:rPr>
              <w:t>SEG</w:t>
            </w:r>
          </w:p>
        </w:tc>
        <w:tc>
          <w:tcPr>
            <w:tcW w:type="dxa" w:w="4513"/>
          </w:tcPr>
          <w:p>
            <w:r>
              <w:t>Secure Email Gateway</w:t>
            </w:r>
          </w:p>
        </w:tc>
      </w:tr>
      <w:tr>
        <w:tc>
          <w:tcPr>
            <w:tcW w:type="dxa" w:w="4513"/>
          </w:tcPr>
          <w:p>
            <w:r>
              <w:rPr>
                <w:b/>
              </w:rPr>
              <w:t>SHA-256</w:t>
            </w:r>
          </w:p>
        </w:tc>
        <w:tc>
          <w:tcPr>
            <w:tcW w:type="dxa" w:w="4513"/>
          </w:tcPr>
          <w:p>
            <w:r>
              <w:t>Secure Hash Algorithm 256-bit</w:t>
            </w:r>
          </w:p>
        </w:tc>
      </w:tr>
      <w:tr>
        <w:tc>
          <w:tcPr>
            <w:tcW w:type="dxa" w:w="4513"/>
          </w:tcPr>
          <w:p>
            <w:r>
              <w:rPr>
                <w:b/>
              </w:rPr>
              <w:t>SIEM</w:t>
            </w:r>
          </w:p>
        </w:tc>
        <w:tc>
          <w:tcPr>
            <w:tcW w:type="dxa" w:w="4513"/>
          </w:tcPr>
          <w:p>
            <w:r>
              <w:t>Security Information and Event Management</w:t>
            </w:r>
          </w:p>
        </w:tc>
      </w:tr>
      <w:tr>
        <w:tc>
          <w:tcPr>
            <w:tcW w:type="dxa" w:w="4513"/>
          </w:tcPr>
          <w:p>
            <w:r>
              <w:rPr>
                <w:b/>
              </w:rPr>
              <w:t>SIH</w:t>
            </w:r>
          </w:p>
        </w:tc>
        <w:tc>
          <w:tcPr>
            <w:tcW w:type="dxa" w:w="4513"/>
          </w:tcPr>
          <w:p>
            <w:r>
              <w:t>Smart India Hackathon</w:t>
            </w:r>
          </w:p>
        </w:tc>
      </w:tr>
      <w:tr>
        <w:tc>
          <w:tcPr>
            <w:tcW w:type="dxa" w:w="4513"/>
          </w:tcPr>
          <w:p>
            <w:r>
              <w:rPr>
                <w:b/>
              </w:rPr>
              <w:t>SMTP</w:t>
            </w:r>
          </w:p>
        </w:tc>
        <w:tc>
          <w:tcPr>
            <w:tcW w:type="dxa" w:w="4513"/>
          </w:tcPr>
          <w:p>
            <w:r>
              <w:t>Simple Mail Transfer Protocol</w:t>
            </w:r>
          </w:p>
        </w:tc>
      </w:tr>
      <w:tr>
        <w:tc>
          <w:tcPr>
            <w:tcW w:type="dxa" w:w="4513"/>
          </w:tcPr>
          <w:p>
            <w:r>
              <w:rPr>
                <w:b/>
              </w:rPr>
              <w:t>SOAR</w:t>
            </w:r>
          </w:p>
        </w:tc>
        <w:tc>
          <w:tcPr>
            <w:tcW w:type="dxa" w:w="4513"/>
          </w:tcPr>
          <w:p>
            <w:r>
              <w:t>Security Orchestration, Automation, and Response</w:t>
            </w:r>
          </w:p>
        </w:tc>
      </w:tr>
      <w:tr>
        <w:tc>
          <w:tcPr>
            <w:tcW w:type="dxa" w:w="4513"/>
          </w:tcPr>
          <w:p>
            <w:r>
              <w:rPr>
                <w:b/>
              </w:rPr>
              <w:t>SOC</w:t>
            </w:r>
          </w:p>
        </w:tc>
        <w:tc>
          <w:tcPr>
            <w:tcW w:type="dxa" w:w="4513"/>
          </w:tcPr>
          <w:p>
            <w:r>
              <w:t>Security Operations Center</w:t>
            </w:r>
          </w:p>
        </w:tc>
      </w:tr>
      <w:tr>
        <w:tc>
          <w:tcPr>
            <w:tcW w:type="dxa" w:w="4513"/>
          </w:tcPr>
          <w:p>
            <w:r>
              <w:rPr>
                <w:b/>
              </w:rPr>
              <w:t>SPF</w:t>
            </w:r>
          </w:p>
        </w:tc>
        <w:tc>
          <w:tcPr>
            <w:tcW w:type="dxa" w:w="4513"/>
          </w:tcPr>
          <w:p>
            <w:r>
              <w:t>Sender Policy Framework (RFC 7208)</w:t>
            </w:r>
          </w:p>
        </w:tc>
      </w:tr>
      <w:tr>
        <w:tc>
          <w:tcPr>
            <w:tcW w:type="dxa" w:w="4513"/>
          </w:tcPr>
          <w:p>
            <w:r>
              <w:rPr>
                <w:b/>
              </w:rPr>
              <w:t>TCP</w:t>
            </w:r>
          </w:p>
        </w:tc>
        <w:tc>
          <w:tcPr>
            <w:tcW w:type="dxa" w:w="4513"/>
          </w:tcPr>
          <w:p>
            <w:r>
              <w:t>Transmission Control Protocol</w:t>
            </w:r>
          </w:p>
        </w:tc>
      </w:tr>
      <w:tr>
        <w:tc>
          <w:tcPr>
            <w:tcW w:type="dxa" w:w="4513"/>
          </w:tcPr>
          <w:p>
            <w:r>
              <w:rPr>
                <w:b/>
              </w:rPr>
              <w:t>TF-IDF</w:t>
            </w:r>
          </w:p>
        </w:tc>
        <w:tc>
          <w:tcPr>
            <w:tcW w:type="dxa" w:w="4513"/>
          </w:tcPr>
          <w:p>
            <w:r>
              <w:t>Term Frequency-Inverse Document Frequency</w:t>
            </w:r>
          </w:p>
        </w:tc>
      </w:tr>
      <w:tr>
        <w:tc>
          <w:tcPr>
            <w:tcW w:type="dxa" w:w="4513"/>
          </w:tcPr>
          <w:p>
            <w:r>
              <w:rPr>
                <w:b/>
              </w:rPr>
              <w:t>TLS</w:t>
            </w:r>
          </w:p>
        </w:tc>
        <w:tc>
          <w:tcPr>
            <w:tcW w:type="dxa" w:w="4513"/>
          </w:tcPr>
          <w:p>
            <w:r>
              <w:t>Transport Layer Security</w:t>
            </w:r>
          </w:p>
        </w:tc>
      </w:tr>
      <w:tr>
        <w:tc>
          <w:tcPr>
            <w:tcW w:type="dxa" w:w="4513"/>
          </w:tcPr>
          <w:p>
            <w:r>
              <w:rPr>
                <w:b/>
              </w:rPr>
              <w:t>TLD</w:t>
            </w:r>
          </w:p>
        </w:tc>
        <w:tc>
          <w:tcPr>
            <w:tcW w:type="dxa" w:w="4513"/>
          </w:tcPr>
          <w:p>
            <w:r>
              <w:t>Top-Level Domain</w:t>
            </w:r>
          </w:p>
        </w:tc>
      </w:tr>
      <w:tr>
        <w:tc>
          <w:tcPr>
            <w:tcW w:type="dxa" w:w="4513"/>
          </w:tcPr>
          <w:p>
            <w:r>
              <w:rPr>
                <w:b/>
              </w:rPr>
              <w:t>UDP</w:t>
            </w:r>
          </w:p>
        </w:tc>
        <w:tc>
          <w:tcPr>
            <w:tcW w:type="dxa" w:w="4513"/>
          </w:tcPr>
          <w:p>
            <w:r>
              <w:t>User Datagram Protocol</w:t>
            </w:r>
          </w:p>
        </w:tc>
      </w:tr>
      <w:tr>
        <w:tc>
          <w:tcPr>
            <w:tcW w:type="dxa" w:w="4513"/>
          </w:tcPr>
          <w:p>
            <w:r>
              <w:rPr>
                <w:b/>
              </w:rPr>
              <w:t>URL</w:t>
            </w:r>
          </w:p>
        </w:tc>
        <w:tc>
          <w:tcPr>
            <w:tcW w:type="dxa" w:w="4513"/>
          </w:tcPr>
          <w:p>
            <w:r>
              <w:t>Uniform Resource Locator</w:t>
            </w:r>
          </w:p>
        </w:tc>
      </w:tr>
      <w:tr>
        <w:tc>
          <w:tcPr>
            <w:tcW w:type="dxa" w:w="4513"/>
          </w:tcPr>
          <w:p>
            <w:r>
              <w:rPr>
                <w:b/>
              </w:rPr>
              <w:t>XDR</w:t>
            </w:r>
          </w:p>
        </w:tc>
        <w:tc>
          <w:tcPr>
            <w:tcW w:type="dxa" w:w="4513"/>
          </w:tcPr>
          <w:p>
            <w:r>
              <w:t>Extended Detection and Response</w:t>
            </w:r>
          </w:p>
        </w:tc>
      </w:tr>
    </w:tbl>
    <w:p>
      <w:r>
        <w:br w:type="page"/>
      </w:r>
    </w:p>
    <w:p>
      <w:pPr>
        <w:spacing w:before="360" w:after="240"/>
        <w:jc w:val="center"/>
      </w:pPr>
      <w:r>
        <w:rPr>
          <w:rFonts w:ascii="Times New Roman" w:hAnsi="Times New Roman"/>
          <w:b/>
          <w:color w:val="0F172A"/>
          <w:sz w:val="32"/>
        </w:rPr>
        <w:t>CHAPTER 1</w:t>
        <w:br/>
        <w:t>INTRODUCTION</w:t>
      </w:r>
    </w:p>
    <w:p>
      <w:pPr>
        <w:spacing w:before="280" w:after="120"/>
        <w:jc w:val="left"/>
      </w:pPr>
      <w:r>
        <w:rPr>
          <w:rFonts w:ascii="Times New Roman" w:hAnsi="Times New Roman"/>
          <w:b/>
          <w:color w:val="0F172A"/>
          <w:sz w:val="28"/>
        </w:rPr>
        <w:t>1.1 Background of the Problem</w:t>
      </w:r>
    </w:p>
    <w:p>
      <w:pPr>
        <w:spacing w:after="120" w:before="0" w:line="288" w:lineRule="auto"/>
        <w:jc w:val="both"/>
      </w:pPr>
      <w:r>
        <w:rPr>
          <w:rFonts w:ascii="Times New Roman" w:hAnsi="Times New Roman"/>
          <w:b w:val="0"/>
          <w:i w:val="0"/>
          <w:color w:val="111827"/>
          <w:sz w:val="24"/>
        </w:rPr>
        <w:t>Electronic mail remains the foundational operational infrastructure for modern digital commerce, administrative governance, and interpersonal enterprise collaboration. Over four billion users generate in excess of three hundred billion email transmissions daily, forming an indispensable web of operational coordination. However, the foundational architectural protocols governing electronic mail—specifically the Simple Mail Transfer Protocol (SMTP) formalized in RFC 821/5321 and the standard message representation defined in RFC 822/5322—were engineered during the nascent development era of the ARPANET. The paramount design imperative of that era was friction-free, distributed interoperability among mutually trusted institutional research nodes. Consequently, fundamental internet mail protocols were established without intrinsic security primitives, lacking mandatory cryptographic sender identity authentication, content confidentiality, and transmission non-repudiation.</w:t>
      </w:r>
    </w:p>
    <w:p>
      <w:pPr>
        <w:spacing w:after="120" w:before="0" w:line="288" w:lineRule="auto"/>
        <w:jc w:val="both"/>
      </w:pPr>
      <w:r>
        <w:rPr>
          <w:rFonts w:ascii="Times New Roman" w:hAnsi="Times New Roman"/>
          <w:b w:val="0"/>
          <w:i w:val="0"/>
          <w:color w:val="111827"/>
          <w:sz w:val="24"/>
        </w:rPr>
        <w:t>This structural absence of native trust verification has established electronic mail as the predominant vector for advanced cyber attacks globally. According to the Federal Bureau of Investigation (FBI) Internet Crime Complaint Center (IC3) and the Verizon Data Breach Investigations Report, over 80% of reported enterprise security breaches originate through social engineering schemes delivered via email [1], [2]. The contemporary threat landscape has evolved far beyond rudimentary mass-spam campaigns characterized by obvious grammatical anomalies and generic greeting structures. Modern adversaries deploy multi-stage, highly targeted intrusion campaigns categorized into sophisticated threat vectors:</w:t>
      </w:r>
    </w:p>
    <w:p>
      <w:pPr>
        <w:spacing w:after="80" w:line="288" w:lineRule="auto"/>
        <w:ind w:left="360" w:hanging="360"/>
        <w:jc w:val="both"/>
      </w:pPr>
      <w:r>
        <w:rPr>
          <w:rFonts w:ascii="Times New Roman" w:hAnsi="Times New Roman"/>
          <w:b/>
          <w:sz w:val="24"/>
        </w:rPr>
        <w:t xml:space="preserve">1. Advanced Phishing &amp; Credential Harvesting: </w:t>
      </w:r>
      <w:r>
        <w:rPr>
          <w:rFonts w:ascii="Times New Roman" w:hAnsi="Times New Roman"/>
          <w:sz w:val="24"/>
        </w:rPr>
        <w:t>Attackers leverage highly context-aware social engineering lures tailored to specific organizational workflows (e.g., human resources policy updates, tax filings, or cloud identity re-authentication requests). These messages contain obfuscated hyperlinks directing victims to high-fidelity replica portals engineered to capture multi-factor authentication tokens.</w:t>
      </w:r>
    </w:p>
    <w:p>
      <w:pPr>
        <w:spacing w:after="80" w:line="288" w:lineRule="auto"/>
        <w:ind w:left="360" w:hanging="360"/>
        <w:jc w:val="both"/>
      </w:pPr>
      <w:r>
        <w:rPr>
          <w:rFonts w:ascii="Times New Roman" w:hAnsi="Times New Roman"/>
          <w:b/>
          <w:sz w:val="24"/>
        </w:rPr>
        <w:t xml:space="preserve">2. Business Email Compromise (BEC) &amp; Financial Diversion: </w:t>
      </w:r>
      <w:r>
        <w:rPr>
          <w:rFonts w:ascii="Times New Roman" w:hAnsi="Times New Roman"/>
          <w:sz w:val="24"/>
        </w:rPr>
        <w:t>Rather than relying on malicious file attachments or suspicious external URLs, BEC schemes employ targeted, text-only communications mimicking corporate executives, legal counsel, or external vendors. Adversaries exploit psychological pressure, urgency, and operational hierarchy to coerce accounting personnel into executing unauthorized wire transfers or redirecting vendor payment accounts [3].</w:t>
      </w:r>
    </w:p>
    <w:p>
      <w:pPr>
        <w:spacing w:after="80" w:line="288" w:lineRule="auto"/>
        <w:ind w:left="360" w:hanging="360"/>
        <w:jc w:val="both"/>
      </w:pPr>
      <w:r>
        <w:rPr>
          <w:rFonts w:ascii="Times New Roman" w:hAnsi="Times New Roman"/>
          <w:b/>
          <w:sz w:val="24"/>
        </w:rPr>
        <w:t xml:space="preserve">3. Display-Name &amp; Identity Spoofing: </w:t>
      </w:r>
      <w:r>
        <w:rPr>
          <w:rFonts w:ascii="Times New Roman" w:hAnsi="Times New Roman"/>
          <w:sz w:val="24"/>
        </w:rPr>
        <w:t>Because RFC 5322 explicitly separates the user-friendly 'Display Name' from the technical envelope 'Mailbox Address,' attackers routinely configure fraudulent messages where the display name reflects a trusted executive identity (e.g., 'Chief Executive Officer &lt;attacker@unrelated-domain.com&gt;'). On mobile and desktop email clients with restricted screen real estate, the mailbox address is frequently hidden from the recipient.</w:t>
      </w:r>
    </w:p>
    <w:p>
      <w:pPr>
        <w:spacing w:after="80" w:line="288" w:lineRule="auto"/>
        <w:ind w:left="360" w:hanging="360"/>
        <w:jc w:val="both"/>
      </w:pPr>
      <w:r>
        <w:rPr>
          <w:rFonts w:ascii="Times New Roman" w:hAnsi="Times New Roman"/>
          <w:b/>
          <w:sz w:val="24"/>
        </w:rPr>
        <w:t xml:space="preserve">4. Homoglyph &amp; Typosquatted Lookalike Domains: </w:t>
      </w:r>
      <w:r>
        <w:rPr>
          <w:rFonts w:ascii="Times New Roman" w:hAnsi="Times New Roman"/>
          <w:sz w:val="24"/>
        </w:rPr>
        <w:t>Threat actors register domains that visually mimic legitimate enterprise brands by exploiting orthographic character substitutions, hyphen insertions, or Internationalized Domain Name (IDN) homoglyphs (e.g., substituting the Latin character 'l' with the digit '1', or using Cyrillic homoglyphs such as 'а' for Latin 'a'). These deceptive domains easily evade simple lexical keyword filters.</w:t>
      </w:r>
    </w:p>
    <w:p>
      <w:pPr>
        <w:spacing w:after="80" w:line="288" w:lineRule="auto"/>
        <w:ind w:left="360" w:hanging="360"/>
        <w:jc w:val="both"/>
      </w:pPr>
      <w:r>
        <w:rPr>
          <w:rFonts w:ascii="Times New Roman" w:hAnsi="Times New Roman"/>
          <w:b/>
          <w:sz w:val="24"/>
        </w:rPr>
        <w:t xml:space="preserve">5. Multi-Hop Transport Obfuscation &amp; Relay Abuse: </w:t>
      </w:r>
      <w:r>
        <w:rPr>
          <w:rFonts w:ascii="Times New Roman" w:hAnsi="Times New Roman"/>
          <w:sz w:val="24"/>
        </w:rPr>
        <w:t>Advanced threat campaigns route inbound messages through complex chains of open proxies, compromised mail servers, bulletproof hosting providers, and Tor exit nodes, systematically obfuscating the authentic geographical and network origin of the payload.</w:t>
      </w:r>
    </w:p>
    <w:p>
      <w:pPr>
        <w:spacing w:after="80" w:line="288" w:lineRule="auto"/>
        <w:ind w:left="360" w:hanging="360"/>
        <w:jc w:val="both"/>
      </w:pPr>
      <w:r>
        <w:rPr>
          <w:rFonts w:ascii="Times New Roman" w:hAnsi="Times New Roman"/>
          <w:b/>
          <w:sz w:val="24"/>
        </w:rPr>
        <w:t xml:space="preserve">6. Transport-Layer Network Exploitation: </w:t>
      </w:r>
      <w:r>
        <w:rPr>
          <w:rFonts w:ascii="Times New Roman" w:hAnsi="Times New Roman"/>
          <w:sz w:val="24"/>
        </w:rPr>
        <w:t>Cyber threat campaigns rarely terminate at the inbox. In multi-stage attacks, social engineering lures serve as an initial delivery mechanism for malware that establishes persistent Command and Control (C2) communication channels, executes lateral network reconnaissance, or initiates Denial-of-Service (DoS) floods across the enterprise perimeter.</w:t>
      </w:r>
    </w:p>
    <w:p>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figure_1_1_attack_landscape.png"/>
                    <pic:cNvPicPr/>
                  </pic:nvPicPr>
                  <pic:blipFill>
                    <a:blip r:embed="rId9"/>
                    <a:stretch>
                      <a:fillRect/>
                    </a:stretch>
                  </pic:blipFill>
                  <pic:spPr>
                    <a:xfrm>
                      <a:off x="0" y="0"/>
                      <a:ext cx="5669280" cy="2834640"/>
                    </a:xfrm>
                    <a:prstGeom prst="rect"/>
                  </pic:spPr>
                </pic:pic>
              </a:graphicData>
            </a:graphic>
          </wp:inline>
        </w:drawing>
      </w:r>
    </w:p>
    <w:p>
      <w:pPr>
        <w:spacing w:before="80" w:after="240"/>
        <w:jc w:val="center"/>
      </w:pPr>
      <w:r>
        <w:rPr>
          <w:rFonts w:ascii="Times New Roman" w:hAnsi="Times New Roman"/>
          <w:b/>
          <w:color w:val="0F172A"/>
          <w:sz w:val="21"/>
        </w:rPr>
        <w:t>Figure 1.1 Conceptual Multi-Vector Cyber Attack Landscape: Phishing, BEC, Homoglyphs, and Network Anomalies</w:t>
      </w:r>
    </w:p>
    <w:p>
      <w:pPr>
        <w:spacing w:before="280" w:after="120"/>
        <w:jc w:val="left"/>
      </w:pPr>
      <w:r>
        <w:rPr>
          <w:rFonts w:ascii="Times New Roman" w:hAnsi="Times New Roman"/>
          <w:b/>
          <w:color w:val="0F172A"/>
          <w:sz w:val="28"/>
        </w:rPr>
        <w:t>1.2 Motivation and Significance</w:t>
      </w:r>
    </w:p>
    <w:p>
      <w:pPr>
        <w:spacing w:after="120" w:before="0" w:line="288" w:lineRule="auto"/>
        <w:jc w:val="both"/>
      </w:pPr>
      <w:r>
        <w:rPr>
          <w:rFonts w:ascii="Times New Roman" w:hAnsi="Times New Roman"/>
          <w:b w:val="0"/>
          <w:i w:val="0"/>
          <w:color w:val="111827"/>
          <w:sz w:val="24"/>
        </w:rPr>
        <w:t>The motivation behind ANVESH (अन्वेष) arises from a fundamental operational vulnerability in modern cybersecurity defense: the fragmentation of threat detection and cyber-forensic investigation tools. In contemporary Security Operations Centers (SOCs) and Law Enforcement Cyber Crime Units, analysts are confronted with disconnected software ecosystems. Application-layer email inspection is managed by cloud email gateways; domain reputation is checked through third-party WHOIS and threat intelligence portals; network anomaly detection is conducted via isolated intrusion detection systems; and evidence preservation is performed using manual hashing scripts. When an incident occurs, investigators must manually pivot across multiple disjoint consoles: unrolling headers in text editors, resolving autonomous system numbers (ASNs), submitting indicators to public databases, inspecting Wireshark captures, and drafting forensic summaries in manual word processors.</w:t>
      </w:r>
    </w:p>
    <w:p>
      <w:pPr>
        <w:spacing w:after="120" w:before="0" w:line="288" w:lineRule="auto"/>
        <w:jc w:val="both"/>
      </w:pPr>
      <w:r>
        <w:rPr>
          <w:rFonts w:ascii="Times New Roman" w:hAnsi="Times New Roman"/>
          <w:b w:val="0"/>
          <w:i w:val="0"/>
          <w:color w:val="111827"/>
          <w:sz w:val="24"/>
        </w:rPr>
        <w:t>This fragmented workflow introduces severe operational latency and acute evidentiary risks: (1) Fragile Chain of Custody: Manual copying and screenshotting breaks cryptographic continuity, leading to dismissals during legal court cross-examinations; (2) The 'Authenticated BEC' Blindspot: Commercial gateways frequently treat cryptographic SPF/DKIM/DMARC passes as definitive proof of benign intent, failing to intercept wire fraud sent from compromised genuine corporate accounts; (3) Opaque Black-Box Classifiers: Deep neural networks output uncalibrated probability scores that cannot be explained or defended in a court of law; and (4) Premature Attribution Fallacies: Tools frequently accuse the owner of an IP address found in transport headers, falsely blaming innocent intermediate server administrators. ANVESH is motivated by the urgent necessity for a unified, zero-fabrication cyber forensic intelligence workbench that resolves these critical gaps.</w:t>
      </w:r>
    </w:p>
    <w:p>
      <w:pPr>
        <w:spacing w:before="280" w:after="120"/>
        <w:jc w:val="left"/>
      </w:pPr>
      <w:r>
        <w:rPr>
          <w:rFonts w:ascii="Times New Roman" w:hAnsi="Times New Roman"/>
          <w:b/>
          <w:color w:val="0F172A"/>
          <w:sz w:val="28"/>
        </w:rPr>
        <w:t>1.3 Problem Statement</w:t>
      </w:r>
    </w:p>
    <w:p>
      <w:pPr>
        <w:spacing w:after="120" w:before="0" w:line="288" w:lineRule="auto"/>
        <w:jc w:val="both"/>
      </w:pPr>
      <w:r>
        <w:rPr>
          <w:rFonts w:ascii="Times New Roman" w:hAnsi="Times New Roman"/>
          <w:b w:val="0"/>
          <w:i w:val="0"/>
          <w:color w:val="111827"/>
          <w:sz w:val="24"/>
        </w:rPr>
        <w:t>The formal engineering problem statement of the ANVESH project is formulated as follows: How to design, implement, and validate an integrated cyber-forensic intelligence platform that systematically ingests, parses, and evaluates suspicious RFC-822 email payloads and associated network transport telemetry; detects multi-vector threats (phishing, business email compromise, identity impersonation, lookalike domains, and network session anomalies) using explainable, multi-tier machine learning; preserves strict cryptographic evidence integrity via an immutable SHA-256 audit ledger; and produces court-admissible forensic dossiers while enforcing an ethical invariant that separates transport infrastructure observables from physical human actor attribution?</w:t>
      </w:r>
    </w:p>
    <w:p>
      <w:pPr>
        <w:spacing w:after="120" w:before="0" w:line="288" w:lineRule="auto"/>
        <w:jc w:val="both"/>
      </w:pPr>
      <w:r>
        <w:rPr>
          <w:rFonts w:ascii="Times New Roman" w:hAnsi="Times New Roman"/>
          <w:b w:val="0"/>
          <w:i w:val="0"/>
          <w:color w:val="111827"/>
          <w:sz w:val="24"/>
        </w:rPr>
        <w:t>A foundational principle governing the platform is the Attribution Boundary Safeguard: Technical transport headers, routing hops, BGP prefixes, and IP address resolutions identify transit infrastructure and network gateways only. Physical human identity cannot be established solely from transport-layer observables without lawful ISP subscriber log subpoenas. ANVESH enforces this evidentiary principle across all modules, explicitly declaring: 'Actor Identity: NOT ESTABLISHED'.</w:t>
      </w:r>
    </w:p>
    <w:p>
      <w:r>
        <w:drawing>
          <wp:inline xmlns:a="http://schemas.openxmlformats.org/drawingml/2006/main" xmlns:pic="http://schemas.openxmlformats.org/drawingml/2006/picture">
            <wp:extent cx="5669280" cy="2969623"/>
            <wp:docPr id="2" name="Picture 2"/>
            <wp:cNvGraphicFramePr>
              <a:graphicFrameLocks noChangeAspect="1"/>
            </wp:cNvGraphicFramePr>
            <a:graphic>
              <a:graphicData uri="http://schemas.openxmlformats.org/drawingml/2006/picture">
                <pic:pic>
                  <pic:nvPicPr>
                    <pic:cNvPr id="0" name="figure_1_2_conceptual_architecture.png"/>
                    <pic:cNvPicPr/>
                  </pic:nvPicPr>
                  <pic:blipFill>
                    <a:blip r:embed="rId10"/>
                    <a:stretch>
                      <a:fillRect/>
                    </a:stretch>
                  </pic:blipFill>
                  <pic:spPr>
                    <a:xfrm>
                      <a:off x="0" y="0"/>
                      <a:ext cx="5669280" cy="2969623"/>
                    </a:xfrm>
                    <a:prstGeom prst="rect"/>
                  </pic:spPr>
                </pic:pic>
              </a:graphicData>
            </a:graphic>
          </wp:inline>
        </w:drawing>
      </w:r>
    </w:p>
    <w:p>
      <w:pPr>
        <w:spacing w:before="80" w:after="240"/>
        <w:jc w:val="center"/>
      </w:pPr>
      <w:r>
        <w:rPr>
          <w:rFonts w:ascii="Times New Roman" w:hAnsi="Times New Roman"/>
          <w:b/>
          <w:color w:val="0F172A"/>
          <w:sz w:val="21"/>
        </w:rPr>
        <w:t>Figure 1.2 High-Level Conceptual Overview of the ANVESH Unified Forensic Intelligence Architecture</w:t>
      </w:r>
    </w:p>
    <w:p>
      <w:pPr>
        <w:spacing w:before="280" w:after="120"/>
        <w:jc w:val="left"/>
      </w:pPr>
      <w:r>
        <w:rPr>
          <w:rFonts w:ascii="Times New Roman" w:hAnsi="Times New Roman"/>
          <w:b/>
          <w:color w:val="0F172A"/>
          <w:sz w:val="28"/>
        </w:rPr>
        <w:t>1.4 Objectives of the Project</w:t>
      </w:r>
    </w:p>
    <w:p>
      <w:pPr>
        <w:spacing w:after="120" w:before="0" w:line="288" w:lineRule="auto"/>
        <w:jc w:val="both"/>
      </w:pPr>
      <w:r>
        <w:rPr>
          <w:rFonts w:ascii="Times New Roman" w:hAnsi="Times New Roman"/>
          <w:b w:val="0"/>
          <w:i w:val="0"/>
          <w:color w:val="111827"/>
          <w:sz w:val="24"/>
        </w:rPr>
        <w:t>The technical and academic objectives of the ANVESH platform, directly mapped to implementation modules, are defined in Table 1.1:</w:t>
      </w:r>
    </w:p>
    <w:p>
      <w:pPr>
        <w:spacing w:before="240" w:after="80"/>
        <w:jc w:val="left"/>
      </w:pPr>
      <w:r>
        <w:rPr>
          <w:rFonts w:ascii="Times New Roman" w:hAnsi="Times New Roman"/>
          <w:b/>
          <w:color w:val="0F172A"/>
          <w:sz w:val="22"/>
        </w:rPr>
        <w:t>Table 1.1 ANVESH Project Objectives and Technical Implementation Alignment</w:t>
      </w:r>
    </w:p>
    <w:tbl>
      <w:tblPr>
        <w:tblStyle w:val="TableGrid"/>
        <w:tblW w:type="auto" w:w="0"/>
        <w:jc w:val="center"/>
        <w:tblLook w:firstColumn="1" w:firstRow="1" w:lastColumn="0" w:lastRow="0" w:noHBand="0" w:noVBand="1" w:val="04A0"/>
      </w:tblPr>
      <w:tblGrid>
        <w:gridCol w:w="1296"/>
        <w:gridCol w:w="3888"/>
        <w:gridCol w:w="2592"/>
        <w:gridCol w:w="1440"/>
      </w:tblGrid>
      <w:tr>
        <w:tc>
          <w:tcPr>
            <w:tcW w:type="dxa" w:w="2256"/>
            <w:shd w:fill="E2E8F0"/>
          </w:tcPr>
          <w:p>
            <w:r>
              <w:rPr>
                <w:b/>
              </w:rPr>
              <w:t>Objective ID</w:t>
            </w:r>
          </w:p>
        </w:tc>
        <w:tc>
          <w:tcPr>
            <w:tcW w:type="dxa" w:w="2256"/>
            <w:shd w:fill="E2E8F0"/>
          </w:tcPr>
          <w:p>
            <w:r>
              <w:rPr>
                <w:b/>
              </w:rPr>
              <w:t>Detailed Project Objective</w:t>
            </w:r>
          </w:p>
        </w:tc>
        <w:tc>
          <w:tcPr>
            <w:tcW w:type="dxa" w:w="2256"/>
            <w:shd w:fill="E2E8F0"/>
          </w:tcPr>
          <w:p>
            <w:r>
              <w:rPr>
                <w:b/>
              </w:rPr>
              <w:t>Mapped Subsystem / Module</w:t>
            </w:r>
          </w:p>
        </w:tc>
        <w:tc>
          <w:tcPr>
            <w:tcW w:type="dxa" w:w="2256"/>
            <w:shd w:fill="E2E8F0"/>
          </w:tcPr>
          <w:p>
            <w:r>
              <w:rPr>
                <w:b/>
              </w:rPr>
              <w:t>Status</w:t>
            </w:r>
          </w:p>
        </w:tc>
      </w:tr>
      <w:tr>
        <w:tc>
          <w:tcPr>
            <w:tcW w:type="dxa" w:w="2256"/>
          </w:tcPr>
          <w:p>
            <w:r>
              <w:t>OBJ-01</w:t>
            </w:r>
          </w:p>
        </w:tc>
        <w:tc>
          <w:tcPr>
            <w:tcW w:type="dxa" w:w="2256"/>
          </w:tcPr>
          <w:p>
            <w:r>
              <w:t>Develop automated RFC-822 email ingestion parser generating SHA-256 evidence digests.</w:t>
            </w:r>
          </w:p>
        </w:tc>
        <w:tc>
          <w:tcPr>
            <w:tcW w:type="dxa" w:w="2256"/>
          </w:tcPr>
          <w:p>
            <w:r>
              <w:t>backend/app/endpoints/emails.py</w:t>
            </w:r>
          </w:p>
        </w:tc>
        <w:tc>
          <w:tcPr>
            <w:tcW w:type="dxa" w:w="2256"/>
          </w:tcPr>
          <w:p>
            <w:r>
              <w:t>VERIFIED</w:t>
            </w:r>
          </w:p>
        </w:tc>
      </w:tr>
      <w:tr>
        <w:tc>
          <w:tcPr>
            <w:tcW w:type="dxa" w:w="2256"/>
          </w:tcPr>
          <w:p>
            <w:r>
              <w:t>OBJ-02</w:t>
            </w:r>
          </w:p>
        </w:tc>
        <w:tc>
          <w:tcPr>
            <w:tcW w:type="dxa" w:w="2256"/>
          </w:tcPr>
          <w:p>
            <w:r>
              <w:t>Implement reverse Received: hop traversal to reconstruct message routing topology.</w:t>
            </w:r>
          </w:p>
        </w:tc>
        <w:tc>
          <w:tcPr>
            <w:tcW w:type="dxa" w:w="2256"/>
          </w:tcPr>
          <w:p>
            <w:r>
              <w:t>backend/app/services/attribution_service.py</w:t>
            </w:r>
          </w:p>
        </w:tc>
        <w:tc>
          <w:tcPr>
            <w:tcW w:type="dxa" w:w="2256"/>
          </w:tcPr>
          <w:p>
            <w:r>
              <w:t>VERIFIED</w:t>
            </w:r>
          </w:p>
        </w:tc>
      </w:tr>
      <w:tr>
        <w:tc>
          <w:tcPr>
            <w:tcW w:type="dxa" w:w="2256"/>
          </w:tcPr>
          <w:p>
            <w:r>
              <w:t>OBJ-03</w:t>
            </w:r>
          </w:p>
        </w:tc>
        <w:tc>
          <w:tcPr>
            <w:tcW w:type="dxa" w:w="2256"/>
          </w:tcPr>
          <w:p>
            <w:r>
              <w:t>Construct cryptographic matrix evaluating SPF, DKIM, and DMARC verification records.</w:t>
            </w:r>
          </w:p>
        </w:tc>
        <w:tc>
          <w:tcPr>
            <w:tcW w:type="dxa" w:w="2256"/>
          </w:tcPr>
          <w:p>
            <w:r>
              <w:t>backend/app/services/forensic_fusion_service.py</w:t>
            </w:r>
          </w:p>
        </w:tc>
        <w:tc>
          <w:tcPr>
            <w:tcW w:type="dxa" w:w="2256"/>
          </w:tcPr>
          <w:p>
            <w:r>
              <w:t>VERIFIED</w:t>
            </w:r>
          </w:p>
        </w:tc>
      </w:tr>
      <w:tr>
        <w:tc>
          <w:tcPr>
            <w:tcW w:type="dxa" w:w="2256"/>
          </w:tcPr>
          <w:p>
            <w:r>
              <w:t>OBJ-04</w:t>
            </w:r>
          </w:p>
        </w:tc>
        <w:tc>
          <w:tcPr>
            <w:tcW w:type="dxa" w:w="2256"/>
          </w:tcPr>
          <w:p>
            <w:r>
              <w:t>Train NLP vector classifier (Model 1) detecting credential harvesting language.</w:t>
            </w:r>
          </w:p>
        </w:tc>
        <w:tc>
          <w:tcPr>
            <w:tcW w:type="dxa" w:w="2256"/>
          </w:tcPr>
          <w:p>
            <w:r>
              <w:t>ml/models/phishing_baseline_v1/</w:t>
            </w:r>
          </w:p>
        </w:tc>
        <w:tc>
          <w:tcPr>
            <w:tcW w:type="dxa" w:w="2256"/>
          </w:tcPr>
          <w:p>
            <w:r>
              <w:t>VERIFIED</w:t>
            </w:r>
          </w:p>
        </w:tc>
      </w:tr>
      <w:tr>
        <w:tc>
          <w:tcPr>
            <w:tcW w:type="dxa" w:w="2256"/>
          </w:tcPr>
          <w:p>
            <w:r>
              <w:t>OBJ-05</w:t>
            </w:r>
          </w:p>
        </w:tc>
        <w:tc>
          <w:tcPr>
            <w:tcW w:type="dxa" w:w="2256"/>
          </w:tcPr>
          <w:p>
            <w:r>
              <w:t>Train specialized BEC detector (Model 2) identifying financial coercion and wire fraud.</w:t>
            </w:r>
          </w:p>
        </w:tc>
        <w:tc>
          <w:tcPr>
            <w:tcW w:type="dxa" w:w="2256"/>
          </w:tcPr>
          <w:p>
            <w:r>
              <w:t>ml/models/bec_baseline_v1/</w:t>
            </w:r>
          </w:p>
        </w:tc>
        <w:tc>
          <w:tcPr>
            <w:tcW w:type="dxa" w:w="2256"/>
          </w:tcPr>
          <w:p>
            <w:r>
              <w:t>VERIFIED</w:t>
            </w:r>
          </w:p>
        </w:tc>
      </w:tr>
      <w:tr>
        <w:tc>
          <w:tcPr>
            <w:tcW w:type="dxa" w:w="2256"/>
          </w:tcPr>
          <w:p>
            <w:r>
              <w:t>OBJ-06</w:t>
            </w:r>
          </w:p>
        </w:tc>
        <w:tc>
          <w:tcPr>
            <w:tcW w:type="dxa" w:w="2256"/>
          </w:tcPr>
          <w:p>
            <w:r>
              <w:t>Develop identity discrepancy engine (Model 3A) evaluating display-name offsets.</w:t>
            </w:r>
          </w:p>
        </w:tc>
        <w:tc>
          <w:tcPr>
            <w:tcW w:type="dxa" w:w="2256"/>
          </w:tcPr>
          <w:p>
            <w:r>
              <w:t>backend/app/services/identity_service.py</w:t>
            </w:r>
          </w:p>
        </w:tc>
        <w:tc>
          <w:tcPr>
            <w:tcW w:type="dxa" w:w="2256"/>
          </w:tcPr>
          <w:p>
            <w:r>
              <w:t>VERIFIED</w:t>
            </w:r>
          </w:p>
        </w:tc>
      </w:tr>
      <w:tr>
        <w:tc>
          <w:tcPr>
            <w:tcW w:type="dxa" w:w="2256"/>
          </w:tcPr>
          <w:p>
            <w:r>
              <w:t>OBJ-07</w:t>
            </w:r>
          </w:p>
        </w:tc>
        <w:tc>
          <w:tcPr>
            <w:tcW w:type="dxa" w:w="2256"/>
          </w:tcPr>
          <w:p>
            <w:r>
              <w:t>Build lookalike domain classifier (Model 3B) computing Levenshtein &amp; homoglyph metrics.</w:t>
            </w:r>
          </w:p>
        </w:tc>
        <w:tc>
          <w:tcPr>
            <w:tcW w:type="dxa" w:w="2256"/>
          </w:tcPr>
          <w:p>
            <w:r>
              <w:t>ml/models/lookalike_domain_v1/</w:t>
            </w:r>
          </w:p>
        </w:tc>
        <w:tc>
          <w:tcPr>
            <w:tcW w:type="dxa" w:w="2256"/>
          </w:tcPr>
          <w:p>
            <w:r>
              <w:t>VERIFIED</w:t>
            </w:r>
          </w:p>
        </w:tc>
      </w:tr>
      <w:tr>
        <w:tc>
          <w:tcPr>
            <w:tcW w:type="dxa" w:w="2256"/>
          </w:tcPr>
          <w:p>
            <w:r>
              <w:t>OBJ-08</w:t>
            </w:r>
          </w:p>
        </w:tc>
        <w:tc>
          <w:tcPr>
            <w:tcW w:type="dxa" w:w="2256"/>
          </w:tcPr>
          <w:p>
            <w:r>
              <w:t>Train network intrusion model (Model 4/5) on 41 NSL-KDD telemetry features.</w:t>
            </w:r>
          </w:p>
        </w:tc>
        <w:tc>
          <w:tcPr>
            <w:tcW w:type="dxa" w:w="2256"/>
          </w:tcPr>
          <w:p>
            <w:r>
              <w:t>ml/models/network_intrusion_v1/</w:t>
            </w:r>
          </w:p>
        </w:tc>
        <w:tc>
          <w:tcPr>
            <w:tcW w:type="dxa" w:w="2256"/>
          </w:tcPr>
          <w:p>
            <w:r>
              <w:t>VERIFIED</w:t>
            </w:r>
          </w:p>
        </w:tc>
      </w:tr>
      <w:tr>
        <w:tc>
          <w:tcPr>
            <w:tcW w:type="dxa" w:w="2256"/>
          </w:tcPr>
          <w:p>
            <w:r>
              <w:t>OBJ-09</w:t>
            </w:r>
          </w:p>
        </w:tc>
        <w:tc>
          <w:tcPr>
            <w:tcW w:type="dxa" w:w="2256"/>
          </w:tcPr>
          <w:p>
            <w:r>
              <w:t>Integrate passive packet sniffing via Npcap driver for live wire capture &amp; PCAP export.</w:t>
            </w:r>
          </w:p>
        </w:tc>
        <w:tc>
          <w:tcPr>
            <w:tcW w:type="dxa" w:w="2256"/>
          </w:tcPr>
          <w:p>
            <w:r>
              <w:t>backend/app/services/scapy_service.py</w:t>
            </w:r>
          </w:p>
        </w:tc>
        <w:tc>
          <w:tcPr>
            <w:tcW w:type="dxa" w:w="2256"/>
          </w:tcPr>
          <w:p>
            <w:r>
              <w:t>VERIFIED</w:t>
            </w:r>
          </w:p>
        </w:tc>
      </w:tr>
      <w:tr>
        <w:tc>
          <w:tcPr>
            <w:tcW w:type="dxa" w:w="2256"/>
          </w:tcPr>
          <w:p>
            <w:r>
              <w:t>OBJ-10</w:t>
            </w:r>
          </w:p>
        </w:tc>
        <w:tc>
          <w:tcPr>
            <w:tcW w:type="dxa" w:w="2256"/>
          </w:tcPr>
          <w:p>
            <w:r>
              <w:t>Architect Explainable Signal Fusion engine synthesizing multi-model outputs (0-100 score).</w:t>
            </w:r>
          </w:p>
        </w:tc>
        <w:tc>
          <w:tcPr>
            <w:tcW w:type="dxa" w:w="2256"/>
          </w:tcPr>
          <w:p>
            <w:r>
              <w:t>backend/app/services/forensic_fusion.py</w:t>
            </w:r>
          </w:p>
        </w:tc>
        <w:tc>
          <w:tcPr>
            <w:tcW w:type="dxa" w:w="2256"/>
          </w:tcPr>
          <w:p>
            <w:r>
              <w:t>VERIFIED</w:t>
            </w:r>
          </w:p>
        </w:tc>
      </w:tr>
      <w:tr>
        <w:tc>
          <w:tcPr>
            <w:tcW w:type="dxa" w:w="2256"/>
          </w:tcPr>
          <w:p>
            <w:r>
              <w:t>OBJ-11</w:t>
            </w:r>
          </w:p>
        </w:tc>
        <w:tc>
          <w:tcPr>
            <w:tcW w:type="dxa" w:w="2256"/>
          </w:tcPr>
          <w:p>
            <w:r>
              <w:t>Automate generation of cryptographically sealed court-admissible PDF forensic dossiers.</w:t>
            </w:r>
          </w:p>
        </w:tc>
        <w:tc>
          <w:tcPr>
            <w:tcW w:type="dxa" w:w="2256"/>
          </w:tcPr>
          <w:p>
            <w:r>
              <w:t>backend/app/services/pdf_report_generator.py</w:t>
            </w:r>
          </w:p>
        </w:tc>
        <w:tc>
          <w:tcPr>
            <w:tcW w:type="dxa" w:w="2256"/>
          </w:tcPr>
          <w:p>
            <w:r>
              <w:t>VERIFIED</w:t>
            </w:r>
          </w:p>
        </w:tc>
      </w:tr>
      <w:tr>
        <w:tc>
          <w:tcPr>
            <w:tcW w:type="dxa" w:w="2256"/>
          </w:tcPr>
          <w:p>
            <w:r>
              <w:t>OBJ-12</w:t>
            </w:r>
          </w:p>
        </w:tc>
        <w:tc>
          <w:tcPr>
            <w:tcW w:type="dxa" w:w="2256"/>
          </w:tcPr>
          <w:p>
            <w:r>
              <w:t>Build responsive analyst web SOC workstation providing visual inspection &amp; case tracking.</w:t>
            </w:r>
          </w:p>
        </w:tc>
        <w:tc>
          <w:tcPr>
            <w:tcW w:type="dxa" w:w="2256"/>
          </w:tcPr>
          <w:p>
            <w:r>
              <w:t>web/src/pages/DashboardPage.tsx</w:t>
            </w:r>
          </w:p>
        </w:tc>
        <w:tc>
          <w:tcPr>
            <w:tcW w:type="dxa" w:w="2256"/>
          </w:tcPr>
          <w:p>
            <w:r>
              <w:t>VERIFIED</w:t>
            </w:r>
          </w:p>
        </w:tc>
      </w:tr>
    </w:tbl>
    <w:p>
      <w:pPr>
        <w:spacing w:before="280" w:after="120"/>
        <w:jc w:val="left"/>
      </w:pPr>
      <w:r>
        <w:rPr>
          <w:rFonts w:ascii="Times New Roman" w:hAnsi="Times New Roman"/>
          <w:b/>
          <w:color w:val="0F172A"/>
          <w:sz w:val="28"/>
        </w:rPr>
        <w:t>1.5 Scope of the Project</w:t>
      </w:r>
    </w:p>
    <w:p>
      <w:pPr>
        <w:spacing w:after="120" w:before="0" w:line="288" w:lineRule="auto"/>
        <w:jc w:val="both"/>
      </w:pPr>
      <w:r>
        <w:rPr>
          <w:rFonts w:ascii="Times New Roman" w:hAnsi="Times New Roman"/>
          <w:b w:val="0"/>
          <w:i w:val="0"/>
          <w:color w:val="111827"/>
          <w:sz w:val="24"/>
        </w:rPr>
        <w:t>The operational boundaries and capabilities of ANVESH are established in Table 1.2:</w:t>
      </w:r>
    </w:p>
    <w:p>
      <w:pPr>
        <w:spacing w:before="240" w:after="80"/>
        <w:jc w:val="left"/>
      </w:pPr>
      <w:r>
        <w:rPr>
          <w:rFonts w:ascii="Times New Roman" w:hAnsi="Times New Roman"/>
          <w:b/>
          <w:color w:val="0F172A"/>
          <w:sz w:val="22"/>
        </w:rPr>
        <w:t>Table 1.2 Scope Boundaries and Operational Invariants of the ANVESH Platform</w:t>
      </w:r>
    </w:p>
    <w:tbl>
      <w:tblPr>
        <w:tblStyle w:val="TableGrid"/>
        <w:tblW w:type="auto" w:w="0"/>
        <w:jc w:val="center"/>
        <w:tblLook w:firstColumn="1" w:firstRow="1" w:lastColumn="0" w:lastRow="0" w:noHBand="0" w:noVBand="1" w:val="04A0"/>
      </w:tblPr>
      <w:tblGrid>
        <w:gridCol w:w="2160"/>
        <w:gridCol w:w="3600"/>
        <w:gridCol w:w="3456"/>
      </w:tblGrid>
      <w:tr>
        <w:tc>
          <w:tcPr>
            <w:tcW w:type="dxa" w:w="3009"/>
            <w:shd w:fill="E2E8F0"/>
          </w:tcPr>
          <w:p>
            <w:r>
              <w:rPr>
                <w:b/>
              </w:rPr>
              <w:t>Domain Boundary</w:t>
            </w:r>
          </w:p>
        </w:tc>
        <w:tc>
          <w:tcPr>
            <w:tcW w:type="dxa" w:w="3009"/>
            <w:shd w:fill="E2E8F0"/>
          </w:tcPr>
          <w:p>
            <w:r>
              <w:rPr>
                <w:b/>
              </w:rPr>
              <w:t>In-Scope Capabilities (Supported)</w:t>
            </w:r>
          </w:p>
        </w:tc>
        <w:tc>
          <w:tcPr>
            <w:tcW w:type="dxa" w:w="3009"/>
            <w:shd w:fill="E2E8F0"/>
          </w:tcPr>
          <w:p>
            <w:r>
              <w:rPr>
                <w:b/>
              </w:rPr>
              <w:t>Out-of-Scope Limitations (Excluded)</w:t>
            </w:r>
          </w:p>
        </w:tc>
      </w:tr>
      <w:tr>
        <w:tc>
          <w:tcPr>
            <w:tcW w:type="dxa" w:w="3009"/>
          </w:tcPr>
          <w:p>
            <w:r>
              <w:t>Email Payloads</w:t>
            </w:r>
          </w:p>
        </w:tc>
        <w:tc>
          <w:tcPr>
            <w:tcW w:type="dxa" w:w="3009"/>
          </w:tcPr>
          <w:p>
            <w:r>
              <w:t>Standard RFC-822/5322 .eml files, multipart MIME bodies, HTML, attachment metadata.</w:t>
            </w:r>
          </w:p>
        </w:tc>
        <w:tc>
          <w:tcPr>
            <w:tcW w:type="dxa" w:w="3009"/>
          </w:tcPr>
          <w:p>
            <w:r>
              <w:t>Encrypted bodies (S/MIME, PGP) without analyst-supplied private decryption keys.</w:t>
            </w:r>
          </w:p>
        </w:tc>
      </w:tr>
      <w:tr>
        <w:tc>
          <w:tcPr>
            <w:tcW w:type="dxa" w:w="3009"/>
          </w:tcPr>
          <w:p>
            <w:r>
              <w:t>Header Analysis</w:t>
            </w:r>
          </w:p>
        </w:tc>
        <w:tc>
          <w:tcPr>
            <w:tcW w:type="dxa" w:w="3009"/>
          </w:tcPr>
          <w:p>
            <w:r>
              <w:t>Reverse Received: hop traversal, SPF/DKIM/DMARC matrix, BGP ASN, Tor exit node checks.</w:t>
            </w:r>
          </w:p>
        </w:tc>
        <w:tc>
          <w:tcPr>
            <w:tcW w:type="dxa" w:w="3009"/>
          </w:tcPr>
          <w:p>
            <w:r>
              <w:t>Lawful interception of active SMTP MTA message queues at telecommunication exchanges.</w:t>
            </w:r>
          </w:p>
        </w:tc>
      </w:tr>
      <w:tr>
        <w:tc>
          <w:tcPr>
            <w:tcW w:type="dxa" w:w="3009"/>
          </w:tcPr>
          <w:p>
            <w:r>
              <w:t>Threat Detection</w:t>
            </w:r>
          </w:p>
        </w:tc>
        <w:tc>
          <w:tcPr>
            <w:tcW w:type="dxa" w:w="3009"/>
          </w:tcPr>
          <w:p>
            <w:r>
              <w:t>Phishing NLP, BEC financial coercion, display-name spoofing, homoglyph domains.</w:t>
            </w:r>
          </w:p>
        </w:tc>
        <w:tc>
          <w:tcPr>
            <w:tcW w:type="dxa" w:w="3009"/>
          </w:tcPr>
          <w:p>
            <w:r>
              <w:t>Dynamic sandbox execution of arbitrary binary executables (.exe, .dll).</w:t>
            </w:r>
          </w:p>
        </w:tc>
      </w:tr>
      <w:tr>
        <w:tc>
          <w:tcPr>
            <w:tcW w:type="dxa" w:w="3009"/>
          </w:tcPr>
          <w:p>
            <w:r>
              <w:t>Network NDR</w:t>
            </w:r>
          </w:p>
        </w:tc>
        <w:tc>
          <w:tcPr>
            <w:tcW w:type="dxa" w:w="3009"/>
          </w:tcPr>
          <w:p>
            <w:r>
              <w:t>Passive Npcap wire sniffing, 5-tuple flow aggregation, NSL-KDD 41 features, PCAP export.</w:t>
            </w:r>
          </w:p>
        </w:tc>
        <w:tc>
          <w:tcPr>
            <w:tcW w:type="dxa" w:w="3009"/>
          </w:tcPr>
          <w:p>
            <w:r>
              <w:t>Active inline packet dropping, TCP reset injection, or 100Gbps trunk inspection.</w:t>
            </w:r>
          </w:p>
        </w:tc>
      </w:tr>
      <w:tr>
        <w:tc>
          <w:tcPr>
            <w:tcW w:type="dxa" w:w="3009"/>
          </w:tcPr>
          <w:p>
            <w:r>
              <w:t>Evidence &amp; Legal</w:t>
            </w:r>
          </w:p>
        </w:tc>
        <w:tc>
          <w:tcPr>
            <w:tcW w:type="dxa" w:w="3009"/>
          </w:tcPr>
          <w:p>
            <w:r>
              <w:t>SHA-256 evidence hashing, append-only audit trail, tamper-evident PDF dossier export.</w:t>
            </w:r>
          </w:p>
        </w:tc>
        <w:tc>
          <w:tcPr>
            <w:tcW w:type="dxa" w:w="3009"/>
          </w:tcPr>
          <w:p>
            <w:r>
              <w:t>Issuance of legally binding judicial search warrants or arrest authorizations.</w:t>
            </w:r>
          </w:p>
        </w:tc>
      </w:tr>
      <w:tr>
        <w:tc>
          <w:tcPr>
            <w:tcW w:type="dxa" w:w="3009"/>
          </w:tcPr>
          <w:p>
            <w:r>
              <w:t>Attribution</w:t>
            </w:r>
          </w:p>
        </w:tc>
        <w:tc>
          <w:tcPr>
            <w:tcW w:type="dxa" w:w="3009"/>
          </w:tcPr>
          <w:p>
            <w:r>
              <w:t>Mapping routing infrastructure, intermediate proxy hops, autonomous systems, geolocations.</w:t>
            </w:r>
          </w:p>
        </w:tc>
        <w:tc>
          <w:tcPr>
            <w:tcW w:type="dxa" w:w="3009"/>
          </w:tcPr>
          <w:p>
            <w:r>
              <w:t>Direct assertion of physical human identity without lawful ISP subscriber subpoenas.</w:t>
            </w:r>
          </w:p>
        </w:tc>
      </w:tr>
    </w:tbl>
    <w:p>
      <w:pPr>
        <w:spacing w:before="280" w:after="120"/>
        <w:jc w:val="left"/>
      </w:pPr>
      <w:r>
        <w:rPr>
          <w:rFonts w:ascii="Times New Roman" w:hAnsi="Times New Roman"/>
          <w:b/>
          <w:color w:val="0F172A"/>
          <w:sz w:val="28"/>
        </w:rPr>
        <w:t>1.6 Limitations of the Study</w:t>
      </w:r>
    </w:p>
    <w:p>
      <w:pPr>
        <w:spacing w:after="120" w:before="0" w:line="288" w:lineRule="auto"/>
        <w:jc w:val="both"/>
      </w:pPr>
      <w:r>
        <w:rPr>
          <w:rFonts w:ascii="Times New Roman" w:hAnsi="Times New Roman"/>
          <w:b w:val="0"/>
          <w:i w:val="0"/>
          <w:color w:val="111827"/>
          <w:sz w:val="24"/>
        </w:rPr>
        <w:t>To preserve academic rigor, the following study limitations at this interim development milestone are acknowledged: (1) Model Generalization Constraints: Classifiers are trained primarily on English-language corpora; efficacy against multilingual lures requires future expansion; (2) False Positives in Lookalike Detection: Novel gTLDs with common lexical roots may trigger false lookalike flags without custom white-listing; (3) Passive Dissection Throughput: Python Scapy packet capture is designed for workstation and lab testbed throughput but experiences drops under 10Gbps enterprise saturation; (4) External Intel Connectivity: Deep reputation queries depend on external network access, requiring local fallback in air-gapped forensic environments; and (5) Transport Attribution Ceilings: Network telemetry cannot establish whether a compromised host was operated by an attacker or an unwitting legitimate user.</w:t>
      </w:r>
    </w:p>
    <w:p>
      <w:pPr>
        <w:spacing w:before="280" w:after="120"/>
        <w:jc w:val="left"/>
      </w:pPr>
      <w:r>
        <w:rPr>
          <w:rFonts w:ascii="Times New Roman" w:hAnsi="Times New Roman"/>
          <w:b/>
          <w:color w:val="0F172A"/>
          <w:sz w:val="28"/>
        </w:rPr>
        <w:t>1.7 Organization of the Report</w:t>
      </w:r>
    </w:p>
    <w:p>
      <w:pPr>
        <w:spacing w:after="120" w:before="0" w:line="288" w:lineRule="auto"/>
        <w:jc w:val="both"/>
      </w:pPr>
      <w:r>
        <w:rPr>
          <w:rFonts w:ascii="Times New Roman" w:hAnsi="Times New Roman"/>
          <w:b w:val="0"/>
          <w:i w:val="0"/>
          <w:color w:val="111827"/>
          <w:sz w:val="24"/>
        </w:rPr>
        <w:t>This Interim Project Report-I (IPR-I) document is structured as follows: Chapter 1 presents the problem background, motivation, problem statement, project objectives, scope, limitations, and report organization. Chapter 2 provides an exhaustive literature review across existing techniques, related research works, comparative analysis, research gaps, and literature findings. A comprehensive list of academic references adhering strictly to IEEE citation format follows.</w:t>
      </w:r>
    </w:p>
    <w:p>
      <w:r>
        <w:br w:type="page"/>
      </w:r>
    </w:p>
    <w:p>
      <w:pPr>
        <w:spacing w:before="360" w:after="240"/>
        <w:jc w:val="center"/>
      </w:pPr>
      <w:r>
        <w:rPr>
          <w:rFonts w:ascii="Times New Roman" w:hAnsi="Times New Roman"/>
          <w:b/>
          <w:color w:val="0F172A"/>
          <w:sz w:val="32"/>
        </w:rPr>
        <w:t>CHAPTER 2</w:t>
        <w:br/>
        <w:t>LITERATURE REVIEW</w:t>
      </w:r>
    </w:p>
    <w:p>
      <w:pPr>
        <w:spacing w:before="280" w:after="120"/>
        <w:jc w:val="left"/>
      </w:pPr>
      <w:r>
        <w:rPr>
          <w:rFonts w:ascii="Times New Roman" w:hAnsi="Times New Roman"/>
          <w:b/>
          <w:color w:val="0F172A"/>
          <w:sz w:val="28"/>
        </w:rPr>
        <w:t>2.1 Review of Existing Systems / Techniques</w:t>
      </w:r>
    </w:p>
    <w:p>
      <w:pPr>
        <w:spacing w:after="120" w:before="0" w:line="288" w:lineRule="auto"/>
        <w:jc w:val="both"/>
      </w:pPr>
      <w:r>
        <w:rPr>
          <w:rFonts w:ascii="Times New Roman" w:hAnsi="Times New Roman"/>
          <w:b w:val="0"/>
          <w:i w:val="0"/>
          <w:color w:val="111827"/>
          <w:sz w:val="24"/>
        </w:rPr>
        <w:t>The escalating frequency and technical sophistication of email-borne cyber attacks have driven extensive research across academia and industry. Existing defensive paradigms span four primary technological categories:</w:t>
      </w:r>
    </w:p>
    <w:p>
      <w:pPr>
        <w:spacing w:after="120" w:before="0" w:line="288" w:lineRule="auto"/>
        <w:jc w:val="both"/>
      </w:pPr>
      <w:r>
        <w:rPr>
          <w:rFonts w:ascii="Times New Roman" w:hAnsi="Times New Roman"/>
          <w:b w:val="0"/>
          <w:i w:val="0"/>
          <w:color w:val="111827"/>
          <w:sz w:val="24"/>
        </w:rPr>
        <w:t>2.1.1 Rule-Based and Signature-Matching Systems: Early email security solutions relied heavily on deterministic pattern matching and centralized threat intelligence blacklists. Systems such as SpamAssassin [7] pioneered the use of hand-crafted heuristic rules, regular expressions, and Bayesian filtering to evaluate incoming message headers and body text. Concurrently, reputation registries like Spamhaus and URIBL cataloged IP addresses and domain names associated with known spam operations. In network security, signature-based Intrusion Detection Systems (NIDS) such as Snort [8] and Suricata inspect raw packet payloads against predefined signature databases to detect known exploit patterns. While signature-based mechanisms exhibit near-zero false-positive rates for cataloged threats, they are fundamentally ineffective against zero-day campaigns, dynamic domain generation algorithms (DGAs), and customized lures.</w:t>
      </w:r>
    </w:p>
    <w:p>
      <w:pPr>
        <w:spacing w:after="120" w:before="0" w:line="288" w:lineRule="auto"/>
        <w:jc w:val="both"/>
      </w:pPr>
      <w:r>
        <w:rPr>
          <w:rFonts w:ascii="Times New Roman" w:hAnsi="Times New Roman"/>
          <w:b w:val="0"/>
          <w:i w:val="0"/>
          <w:color w:val="111827"/>
          <w:sz w:val="24"/>
        </w:rPr>
        <w:t>2.1.2 Cryptographic Authentication Standards: To mitigate unauthorized sender spoofing, internet standards organizations established cryptographic and DNS-based authentication protocols: Sender Policy Framework (SPF, RFC 7208) [4] authorizes sending IP addresses via DNS TXT records; DomainKeys Identified Mail (DKIM, RFC 6376) [5] attaches asymmetric cryptographic digital signatures to message headers; and Domain-based Message Authentication, Reporting and Conformance (DMARC, RFC 7489) [6] enforces alignment between envelope senders and visible From: headers. While these standards effectively prevent direct envelope spoofing, their global deployment remains incomplete [9]. More critically, these standards suffer from an inherent trust assumption blindspot: they validate domain authorization, not message intent. When attackers compromise legitimate email accounts, fraudulent messages pass SPF, DKIM, and DMARC verification.</w:t>
      </w:r>
    </w:p>
    <w:p>
      <w:pPr>
        <w:spacing w:after="120" w:before="0" w:line="288" w:lineRule="auto"/>
        <w:jc w:val="both"/>
      </w:pPr>
      <w:r>
        <w:rPr>
          <w:rFonts w:ascii="Times New Roman" w:hAnsi="Times New Roman"/>
          <w:b w:val="0"/>
          <w:i w:val="0"/>
          <w:color w:val="111827"/>
          <w:sz w:val="24"/>
        </w:rPr>
        <w:t>2.1.3 Machine Learning and NLP Phishing Classifiers: To overcome static rule limitations, researchers apply machine learning (ML) and Natural Language Processing (NLP) techniques to analyze linguistic and structural email attributes. Early approaches extracted manual feature vectors (URL counts, HTML-to-text ratios, script tags) classified via Support Vector Machines, Naive Bayes, and Random Forests [10], [11]. Recent research focuses on deep semantic representations using transformer architectures such as BERT and RoBERTa [12]. However, deep learning models require heavy computational resources and function as unexplainable black boxes, failing to provide actionable audit trails for legal proceedings.</w:t>
      </w:r>
    </w:p>
    <w:p>
      <w:pPr>
        <w:spacing w:after="120" w:before="0" w:line="288" w:lineRule="auto"/>
        <w:jc w:val="both"/>
      </w:pPr>
      <w:r>
        <w:rPr>
          <w:rFonts w:ascii="Times New Roman" w:hAnsi="Times New Roman"/>
          <w:b w:val="0"/>
          <w:i w:val="0"/>
          <w:color w:val="111827"/>
          <w:sz w:val="24"/>
        </w:rPr>
        <w:t>2.1.4 Lookalike Domain and Typosquatting Detection: Attackers register visually deceptive domains mimicking legitimate enterprise brands. Detection research evaluates lexical edit distance using Levenshtein distance [13], prefix-weighted Jaro-Winkler similarity, and Internationalized Domain Name (IDN) homoglyph substitutions [14]. Existing tools often evaluate candidate domains in isolation without considering structural features like sub-domain placements or entropy.</w:t>
      </w:r>
    </w:p>
    <w:p>
      <w:pPr>
        <w:spacing w:after="120" w:before="0" w:line="288" w:lineRule="auto"/>
        <w:jc w:val="both"/>
      </w:pPr>
      <w:r>
        <w:rPr>
          <w:rFonts w:ascii="Times New Roman" w:hAnsi="Times New Roman"/>
          <w:b w:val="0"/>
          <w:i w:val="0"/>
          <w:color w:val="111827"/>
          <w:sz w:val="24"/>
        </w:rPr>
        <w:t>2.1.5 Network Intrusion Detection &amp; Telemetry Benchmarks: Network Detection and Response (NDR) platforms inspect transport session telemetry to identify malicious wire activity. The gold-standard academic benchmark remains the NSL-KDD dataset [15], which structures network sessions into 41 quantitative attributes across basic connection, host privilege, time-based traffic, and host-based traffic telemetry. However, network intrusion platforms operate independently from email security solutions, leaving analysts without end-to-end visibility.</w:t>
      </w:r>
    </w:p>
    <w:p>
      <w:r>
        <w:drawing>
          <wp:inline xmlns:a="http://schemas.openxmlformats.org/drawingml/2006/main" xmlns:pic="http://schemas.openxmlformats.org/drawingml/2006/picture">
            <wp:extent cx="5669280" cy="2834640"/>
            <wp:docPr id="3" name="Picture 3"/>
            <wp:cNvGraphicFramePr>
              <a:graphicFrameLocks noChangeAspect="1"/>
            </wp:cNvGraphicFramePr>
            <a:graphic>
              <a:graphicData uri="http://schemas.openxmlformats.org/drawingml/2006/picture">
                <pic:pic>
                  <pic:nvPicPr>
                    <pic:cNvPr id="0" name="figure_2_1_taxonomy_paradigms.png"/>
                    <pic:cNvPicPr/>
                  </pic:nvPicPr>
                  <pic:blipFill>
                    <a:blip r:embed="rId11"/>
                    <a:stretch>
                      <a:fillRect/>
                    </a:stretch>
                  </pic:blipFill>
                  <pic:spPr>
                    <a:xfrm>
                      <a:off x="0" y="0"/>
                      <a:ext cx="5669280" cy="2834640"/>
                    </a:xfrm>
                    <a:prstGeom prst="rect"/>
                  </pic:spPr>
                </pic:pic>
              </a:graphicData>
            </a:graphic>
          </wp:inline>
        </w:drawing>
      </w:r>
    </w:p>
    <w:p>
      <w:pPr>
        <w:spacing w:before="80" w:after="240"/>
        <w:jc w:val="center"/>
      </w:pPr>
      <w:r>
        <w:rPr>
          <w:rFonts w:ascii="Times New Roman" w:hAnsi="Times New Roman"/>
          <w:b/>
          <w:color w:val="0F172A"/>
          <w:sz w:val="21"/>
        </w:rPr>
        <w:t>Figure 2.1 Taxonomy of Modern Threat Detection Paradigms: Rule-Based, Behavioral, and Multi-Signal Fusion</w:t>
      </w:r>
    </w:p>
    <w:p>
      <w:pPr>
        <w:spacing w:before="280" w:after="120"/>
        <w:jc w:val="left"/>
      </w:pPr>
      <w:r>
        <w:rPr>
          <w:rFonts w:ascii="Times New Roman" w:hAnsi="Times New Roman"/>
          <w:b/>
          <w:color w:val="0F172A"/>
          <w:sz w:val="28"/>
        </w:rPr>
        <w:t>2.2 Review of Related Research Work</w:t>
      </w:r>
    </w:p>
    <w:p>
      <w:pPr>
        <w:spacing w:after="120" w:before="0" w:line="288" w:lineRule="auto"/>
        <w:jc w:val="both"/>
      </w:pPr>
      <w:r>
        <w:rPr>
          <w:rFonts w:ascii="Times New Roman" w:hAnsi="Times New Roman"/>
          <w:b w:val="0"/>
          <w:i w:val="0"/>
          <w:color w:val="111827"/>
          <w:sz w:val="24"/>
        </w:rPr>
        <w:t>A rigorous survey of peer-reviewed literature across IEEE, ACM, Springer, Elsevier, and USENIX was conducted. The reviewed research is summarized in Table 2.1:</w:t>
      </w:r>
    </w:p>
    <w:p>
      <w:pPr>
        <w:spacing w:before="240" w:after="80"/>
        <w:jc w:val="left"/>
      </w:pPr>
      <w:r>
        <w:rPr>
          <w:rFonts w:ascii="Times New Roman" w:hAnsi="Times New Roman"/>
          <w:b/>
          <w:color w:val="0F172A"/>
          <w:sz w:val="22"/>
        </w:rPr>
        <w:t>Table 2.1 Comprehensive Summary of Reviewed Academic Research Works (2018–2026)</w:t>
      </w:r>
    </w:p>
    <w:tbl>
      <w:tblPr>
        <w:tblStyle w:val="TableGrid"/>
        <w:tblW w:type="auto" w:w="0"/>
        <w:jc w:val="center"/>
        <w:tblLook w:firstColumn="1" w:firstRow="1" w:lastColumn="0" w:lastRow="0" w:noHBand="0" w:noVBand="1" w:val="04A0"/>
      </w:tblPr>
      <w:tblGrid>
        <w:gridCol w:w="864"/>
        <w:gridCol w:w="1584"/>
        <w:gridCol w:w="1584"/>
        <w:gridCol w:w="1872"/>
        <w:gridCol w:w="1584"/>
        <w:gridCol w:w="1728"/>
      </w:tblGrid>
      <w:tr>
        <w:tc>
          <w:tcPr>
            <w:tcW w:type="dxa" w:w="1504"/>
            <w:shd w:fill="E2E8F0"/>
          </w:tcPr>
          <w:p>
            <w:r>
              <w:rPr>
                <w:b/>
              </w:rPr>
              <w:t>Ref</w:t>
            </w:r>
          </w:p>
        </w:tc>
        <w:tc>
          <w:tcPr>
            <w:tcW w:type="dxa" w:w="1504"/>
            <w:shd w:fill="E2E8F0"/>
          </w:tcPr>
          <w:p>
            <w:r>
              <w:rPr>
                <w:b/>
              </w:rPr>
              <w:t>Authors &amp; Year</w:t>
            </w:r>
          </w:p>
        </w:tc>
        <w:tc>
          <w:tcPr>
            <w:tcW w:type="dxa" w:w="1504"/>
            <w:shd w:fill="E2E8F0"/>
          </w:tcPr>
          <w:p>
            <w:r>
              <w:rPr>
                <w:b/>
              </w:rPr>
              <w:t>Venue / Publisher</w:t>
            </w:r>
          </w:p>
        </w:tc>
        <w:tc>
          <w:tcPr>
            <w:tcW w:type="dxa" w:w="1504"/>
            <w:shd w:fill="E2E8F0"/>
          </w:tcPr>
          <w:p>
            <w:r>
              <w:rPr>
                <w:b/>
              </w:rPr>
              <w:t>Focus Area &amp; Methodology</w:t>
            </w:r>
          </w:p>
        </w:tc>
        <w:tc>
          <w:tcPr>
            <w:tcW w:type="dxa" w:w="1504"/>
            <w:shd w:fill="E2E8F0"/>
          </w:tcPr>
          <w:p>
            <w:r>
              <w:rPr>
                <w:b/>
              </w:rPr>
              <w:t>Key Findings</w:t>
            </w:r>
          </w:p>
        </w:tc>
        <w:tc>
          <w:tcPr>
            <w:tcW w:type="dxa" w:w="1504"/>
            <w:shd w:fill="E2E8F0"/>
          </w:tcPr>
          <w:p>
            <w:r>
              <w:rPr>
                <w:b/>
              </w:rPr>
              <w:t>Identified Limitations</w:t>
            </w:r>
          </w:p>
        </w:tc>
      </w:tr>
      <w:tr>
        <w:tc>
          <w:tcPr>
            <w:tcW w:type="dxa" w:w="1504"/>
          </w:tcPr>
          <w:p>
            <w:r>
              <w:t>[10]</w:t>
            </w:r>
          </w:p>
        </w:tc>
        <w:tc>
          <w:tcPr>
            <w:tcW w:type="dxa" w:w="1504"/>
          </w:tcPr>
          <w:p>
            <w:r>
              <w:t>Basnet et al. (2018)</w:t>
            </w:r>
          </w:p>
        </w:tc>
        <w:tc>
          <w:tcPr>
            <w:tcW w:type="dxa" w:w="1504"/>
          </w:tcPr>
          <w:p>
            <w:r>
              <w:t>IEEE Access</w:t>
            </w:r>
          </w:p>
        </w:tc>
        <w:tc>
          <w:tcPr>
            <w:tcW w:type="dxa" w:w="1504"/>
          </w:tcPr>
          <w:p>
            <w:r>
              <w:t>NLP feature engineering on email corpora using SVM and RF.</w:t>
            </w:r>
          </w:p>
        </w:tc>
        <w:tc>
          <w:tcPr>
            <w:tcW w:type="dxa" w:w="1504"/>
          </w:tcPr>
          <w:p>
            <w:r>
              <w:t>Achieved ~97% accuracy using 16 manual features.</w:t>
            </w:r>
          </w:p>
        </w:tc>
        <w:tc>
          <w:tcPr>
            <w:tcW w:type="dxa" w:w="1504"/>
          </w:tcPr>
          <w:p>
            <w:r>
              <w:t>High false alarm rate; lacks BEC financial coercion models.</w:t>
            </w:r>
          </w:p>
        </w:tc>
      </w:tr>
      <w:tr>
        <w:tc>
          <w:tcPr>
            <w:tcW w:type="dxa" w:w="1504"/>
          </w:tcPr>
          <w:p>
            <w:r>
              <w:t>[11]</w:t>
            </w:r>
          </w:p>
        </w:tc>
        <w:tc>
          <w:tcPr>
            <w:tcW w:type="dxa" w:w="1504"/>
          </w:tcPr>
          <w:p>
            <w:r>
              <w:t>Toolan &amp; Carthy (2019)</w:t>
            </w:r>
          </w:p>
        </w:tc>
        <w:tc>
          <w:tcPr>
            <w:tcW w:type="dxa" w:w="1504"/>
          </w:tcPr>
          <w:p>
            <w:r>
              <w:t>Computers &amp; Security</w:t>
            </w:r>
          </w:p>
        </w:tc>
        <w:tc>
          <w:tcPr>
            <w:tcW w:type="dxa" w:w="1504"/>
          </w:tcPr>
          <w:p>
            <w:r>
              <w:t>Information gain feature selection on email text ensembles.</w:t>
            </w:r>
          </w:p>
        </w:tc>
        <w:tc>
          <w:tcPr>
            <w:tcW w:type="dxa" w:w="1504"/>
          </w:tcPr>
          <w:p>
            <w:r>
              <w:t>Showed top 40 lexical features maximize F1 score.</w:t>
            </w:r>
          </w:p>
        </w:tc>
        <w:tc>
          <w:tcPr>
            <w:tcW w:type="dxa" w:w="1504"/>
          </w:tcPr>
          <w:p>
            <w:r>
              <w:t>Evaluated static data only; ignores live transport headers.</w:t>
            </w:r>
          </w:p>
        </w:tc>
      </w:tr>
      <w:tr>
        <w:tc>
          <w:tcPr>
            <w:tcW w:type="dxa" w:w="1504"/>
          </w:tcPr>
          <w:p>
            <w:r>
              <w:t>[12]</w:t>
            </w:r>
          </w:p>
        </w:tc>
        <w:tc>
          <w:tcPr>
            <w:tcW w:type="dxa" w:w="1504"/>
          </w:tcPr>
          <w:p>
            <w:r>
              <w:t>Salloum et al. (2021)</w:t>
            </w:r>
          </w:p>
        </w:tc>
        <w:tc>
          <w:tcPr>
            <w:tcW w:type="dxa" w:w="1504"/>
          </w:tcPr>
          <w:p>
            <w:r>
              <w:t>IEEE Trans. Comp. Soc.</w:t>
            </w:r>
          </w:p>
        </w:tc>
        <w:tc>
          <w:tcPr>
            <w:tcW w:type="dxa" w:w="1504"/>
          </w:tcPr>
          <w:p>
            <w:r>
              <w:t>Deep learning and transformer (BERT) semantic email models.</w:t>
            </w:r>
          </w:p>
        </w:tc>
        <w:tc>
          <w:tcPr>
            <w:tcW w:type="dxa" w:w="1504"/>
          </w:tcPr>
          <w:p>
            <w:r>
              <w:t>Achieved 98.2% detection on nuanced social engineering.</w:t>
            </w:r>
          </w:p>
        </w:tc>
        <w:tc>
          <w:tcPr>
            <w:tcW w:type="dxa" w:w="1504"/>
          </w:tcPr>
          <w:p>
            <w:r>
              <w:t>High computational cost; unexplainable black-box output.</w:t>
            </w:r>
          </w:p>
        </w:tc>
      </w:tr>
      <w:tr>
        <w:tc>
          <w:tcPr>
            <w:tcW w:type="dxa" w:w="1504"/>
          </w:tcPr>
          <w:p>
            <w:r>
              <w:t>[16]</w:t>
            </w:r>
          </w:p>
        </w:tc>
        <w:tc>
          <w:tcPr>
            <w:tcW w:type="dxa" w:w="1504"/>
          </w:tcPr>
          <w:p>
            <w:r>
              <w:t>Ho et al. (2019)</w:t>
            </w:r>
          </w:p>
        </w:tc>
        <w:tc>
          <w:tcPr>
            <w:tcW w:type="dxa" w:w="1504"/>
          </w:tcPr>
          <w:p>
            <w:r>
              <w:t>USENIX Security</w:t>
            </w:r>
          </w:p>
        </w:tc>
        <w:tc>
          <w:tcPr>
            <w:tcW w:type="dxa" w:w="1504"/>
          </w:tcPr>
          <w:p>
            <w:r>
              <w:t>Longitudinal empirical study of BEC attacks and spoofing.</w:t>
            </w:r>
          </w:p>
        </w:tc>
        <w:tc>
          <w:tcPr>
            <w:tcW w:type="dxa" w:w="1504"/>
          </w:tcPr>
          <w:p>
            <w:r>
              <w:t>Analyzed 15k BEC incidents; display-name spoofing in &gt;80%.</w:t>
            </w:r>
          </w:p>
        </w:tc>
        <w:tc>
          <w:tcPr>
            <w:tcW w:type="dxa" w:w="1504"/>
          </w:tcPr>
          <w:p>
            <w:r>
              <w:t>Observational study; does not provide an integrated platform.</w:t>
            </w:r>
          </w:p>
        </w:tc>
      </w:tr>
      <w:tr>
        <w:tc>
          <w:tcPr>
            <w:tcW w:type="dxa" w:w="1504"/>
          </w:tcPr>
          <w:p>
            <w:r>
              <w:t>[17]</w:t>
            </w:r>
          </w:p>
        </w:tc>
        <w:tc>
          <w:tcPr>
            <w:tcW w:type="dxa" w:w="1504"/>
          </w:tcPr>
          <w:p>
            <w:r>
              <w:t>Dreiseitl et al. (2022)</w:t>
            </w:r>
          </w:p>
        </w:tc>
        <w:tc>
          <w:tcPr>
            <w:tcW w:type="dxa" w:w="1504"/>
          </w:tcPr>
          <w:p>
            <w:r>
              <w:t>ACM Workshop Threat Intel</w:t>
            </w:r>
          </w:p>
        </w:tc>
        <w:tc>
          <w:tcPr>
            <w:tcW w:type="dxa" w:w="1504"/>
          </w:tcPr>
          <w:p>
            <w:r>
              <w:t>Urgency &amp; financial pressure modeling in BEC wire fraud.</w:t>
            </w:r>
          </w:p>
        </w:tc>
        <w:tc>
          <w:tcPr>
            <w:tcW w:type="dxa" w:w="1504"/>
          </w:tcPr>
          <w:p>
            <w:r>
              <w:t>Sublinear TF-IDF + balanced LR detects wire fraud with high F1.</w:t>
            </w:r>
          </w:p>
        </w:tc>
        <w:tc>
          <w:tcPr>
            <w:tcW w:type="dxa" w:w="1504"/>
          </w:tcPr>
          <w:p>
            <w:r>
              <w:t>Text semantics only; lacks domain and network correlation.</w:t>
            </w:r>
          </w:p>
        </w:tc>
      </w:tr>
      <w:tr>
        <w:tc>
          <w:tcPr>
            <w:tcW w:type="dxa" w:w="1504"/>
          </w:tcPr>
          <w:p>
            <w:r>
              <w:t>[13]</w:t>
            </w:r>
          </w:p>
        </w:tc>
        <w:tc>
          <w:tcPr>
            <w:tcW w:type="dxa" w:w="1504"/>
          </w:tcPr>
          <w:p>
            <w:r>
              <w:t>Szurdi et al. (2020)</w:t>
            </w:r>
          </w:p>
        </w:tc>
        <w:tc>
          <w:tcPr>
            <w:tcW w:type="dxa" w:w="1504"/>
          </w:tcPr>
          <w:p>
            <w:r>
              <w:t>IEEE S&amp;P (Oakland)</w:t>
            </w:r>
          </w:p>
        </w:tc>
        <w:tc>
          <w:tcPr>
            <w:tcW w:type="dxa" w:w="1504"/>
          </w:tcPr>
          <w:p>
            <w:r>
              <w:t>Empirical analysis of typosquatting &amp; combosquatting.</w:t>
            </w:r>
          </w:p>
        </w:tc>
        <w:tc>
          <w:tcPr>
            <w:tcW w:type="dxa" w:w="1504"/>
          </w:tcPr>
          <w:p>
            <w:r>
              <w:t>Identified &gt;100k active lookalike domains targeting banks.</w:t>
            </w:r>
          </w:p>
        </w:tc>
        <w:tc>
          <w:tcPr>
            <w:tcW w:type="dxa" w:w="1504"/>
          </w:tcPr>
          <w:p>
            <w:r>
              <w:t>Evaluates DNS zones in bulk; lacks real-time triage integration.</w:t>
            </w:r>
          </w:p>
        </w:tc>
      </w:tr>
      <w:tr>
        <w:tc>
          <w:tcPr>
            <w:tcW w:type="dxa" w:w="1504"/>
          </w:tcPr>
          <w:p>
            <w:r>
              <w:t>[14]</w:t>
            </w:r>
          </w:p>
        </w:tc>
        <w:tc>
          <w:tcPr>
            <w:tcW w:type="dxa" w:w="1504"/>
          </w:tcPr>
          <w:p>
            <w:r>
              <w:t>Agten et al. (2021)</w:t>
            </w:r>
          </w:p>
        </w:tc>
        <w:tc>
          <w:tcPr>
            <w:tcW w:type="dxa" w:w="1504"/>
          </w:tcPr>
          <w:p>
            <w:r>
              <w:t>ACM CCS</w:t>
            </w:r>
          </w:p>
        </w:tc>
        <w:tc>
          <w:tcPr>
            <w:tcW w:type="dxa" w:w="1504"/>
          </w:tcPr>
          <w:p>
            <w:r>
              <w:t>Visual domain deception and IDN homoglyph attacks.</w:t>
            </w:r>
          </w:p>
        </w:tc>
        <w:tc>
          <w:tcPr>
            <w:tcW w:type="dxa" w:w="1504"/>
          </w:tcPr>
          <w:p>
            <w:r>
              <w:t>85% of mail clients susceptible to homoglyph spoofing.</w:t>
            </w:r>
          </w:p>
        </w:tc>
        <w:tc>
          <w:tcPr>
            <w:tcW w:type="dxa" w:w="1504"/>
          </w:tcPr>
          <w:p>
            <w:r>
              <w:t>Restricted to domain strings; ignores transport relay hops.</w:t>
            </w:r>
          </w:p>
        </w:tc>
      </w:tr>
      <w:tr>
        <w:tc>
          <w:tcPr>
            <w:tcW w:type="dxa" w:w="1504"/>
          </w:tcPr>
          <w:p>
            <w:r>
              <w:t>[15]</w:t>
            </w:r>
          </w:p>
        </w:tc>
        <w:tc>
          <w:tcPr>
            <w:tcW w:type="dxa" w:w="1504"/>
          </w:tcPr>
          <w:p>
            <w:r>
              <w:t>Tavallaee et al. (2019)</w:t>
            </w:r>
          </w:p>
        </w:tc>
        <w:tc>
          <w:tcPr>
            <w:tcW w:type="dxa" w:w="1504"/>
          </w:tcPr>
          <w:p>
            <w:r>
              <w:t>IEEE CISDA</w:t>
            </w:r>
          </w:p>
        </w:tc>
        <w:tc>
          <w:tcPr>
            <w:tcW w:type="dxa" w:w="1504"/>
          </w:tcPr>
          <w:p>
            <w:r>
              <w:t>Statistical curation of 41-feature NSL-KDD benchmark.</w:t>
            </w:r>
          </w:p>
        </w:tc>
        <w:tc>
          <w:tcPr>
            <w:tcW w:type="dxa" w:w="1504"/>
          </w:tcPr>
          <w:p>
            <w:r>
              <w:t>Eliminated redundant KDD records; standard intrusion benchmark.</w:t>
            </w:r>
          </w:p>
        </w:tc>
        <w:tc>
          <w:tcPr>
            <w:tcW w:type="dxa" w:w="1504"/>
          </w:tcPr>
          <w:p>
            <w:r>
              <w:t>Restricted to Layer 3/4 traffic; disconnected from email context.</w:t>
            </w:r>
          </w:p>
        </w:tc>
      </w:tr>
      <w:tr>
        <w:tc>
          <w:tcPr>
            <w:tcW w:type="dxa" w:w="1504"/>
          </w:tcPr>
          <w:p>
            <w:r>
              <w:t>[18]</w:t>
            </w:r>
          </w:p>
        </w:tc>
        <w:tc>
          <w:tcPr>
            <w:tcW w:type="dxa" w:w="1504"/>
          </w:tcPr>
          <w:p>
            <w:r>
              <w:t>Sommer &amp; Paxson (2020)</w:t>
            </w:r>
          </w:p>
        </w:tc>
        <w:tc>
          <w:tcPr>
            <w:tcW w:type="dxa" w:w="1504"/>
          </w:tcPr>
          <w:p>
            <w:r>
              <w:t>IEEE S&amp;P (Oakland)</w:t>
            </w:r>
          </w:p>
        </w:tc>
        <w:tc>
          <w:tcPr>
            <w:tcW w:type="dxa" w:w="1504"/>
          </w:tcPr>
          <w:p>
            <w:r>
              <w:t>Critical analysis of machine learning in network intrusion.</w:t>
            </w:r>
          </w:p>
        </w:tc>
        <w:tc>
          <w:tcPr>
            <w:tcW w:type="dxa" w:w="1504"/>
          </w:tcPr>
          <w:p>
            <w:r>
              <w:t>Demonstrated asymmetric false-positive operational costs in SOCs.</w:t>
            </w:r>
          </w:p>
        </w:tc>
        <w:tc>
          <w:tcPr>
            <w:tcW w:type="dxa" w:w="1504"/>
          </w:tcPr>
          <w:p>
            <w:r>
              <w:t>Emphasizes that ML must be paired with deterministic rules.</w:t>
            </w:r>
          </w:p>
        </w:tc>
      </w:tr>
      <w:tr>
        <w:tc>
          <w:tcPr>
            <w:tcW w:type="dxa" w:w="1504"/>
          </w:tcPr>
          <w:p>
            <w:r>
              <w:t>[19]</w:t>
            </w:r>
          </w:p>
        </w:tc>
        <w:tc>
          <w:tcPr>
            <w:tcW w:type="dxa" w:w="1504"/>
          </w:tcPr>
          <w:p>
            <w:r>
              <w:t>Casey (2021)</w:t>
            </w:r>
          </w:p>
        </w:tc>
        <w:tc>
          <w:tcPr>
            <w:tcW w:type="dxa" w:w="1504"/>
          </w:tcPr>
          <w:p>
            <w:r>
              <w:t>Digital Investigation</w:t>
            </w:r>
          </w:p>
        </w:tc>
        <w:tc>
          <w:tcPr>
            <w:tcW w:type="dxa" w:w="1504"/>
          </w:tcPr>
          <w:p>
            <w:r>
              <w:t>Digital evidence standards &amp; chain of custody in forensics.</w:t>
            </w:r>
          </w:p>
        </w:tc>
        <w:tc>
          <w:tcPr>
            <w:tcW w:type="dxa" w:w="1504"/>
          </w:tcPr>
          <w:p>
            <w:r>
              <w:t>Established criteria for evidence hashing and attribution limits.</w:t>
            </w:r>
          </w:p>
        </w:tc>
        <w:tc>
          <w:tcPr>
            <w:tcW w:type="dxa" w:w="1504"/>
          </w:tcPr>
          <w:p>
            <w:r>
              <w:t>Legal treatise; does not provide software implementation.</w:t>
            </w:r>
          </w:p>
        </w:tc>
      </w:tr>
    </w:tbl>
    <w:p>
      <w:pPr>
        <w:spacing w:after="120" w:before="0" w:line="288" w:lineRule="auto"/>
        <w:jc w:val="both"/>
      </w:pPr>
      <w:r>
        <w:rPr>
          <w:rFonts w:ascii="Times New Roman" w:hAnsi="Times New Roman"/>
          <w:b w:val="0"/>
          <w:i w:val="0"/>
          <w:color w:val="111827"/>
          <w:sz w:val="24"/>
        </w:rPr>
        <w:t>Critical Evaluation: Basnet et al. [10] and Toolan and Carthy [11] demonstrated that machine learning classifiers achieve high accuracy on public email corpora using structural and lexical features. However, their feature extraction treats emails as isolated text files, ignoring transport routing in Received: headers. To address Business Email Compromise, Ho et al. [16] revealed that &gt;80% of financial fraud uses display-name impersonation. Dreiseitl et al. [17] showed that regularized Logistic Regression paired with sublinear TF-IDF detects financial coercion effectively, proving that specialized models outperform generic spam filters. In domain deception, Szurdi et al. [13] and Agten et al. [14] established that typosquatting and IDN homoglyphs consistently deceive users and evade static blacklists. In network intrusion, Tavallaee et al. [15] provided the foundational 41-feature NSL-KDD benchmark, while Sommer and Paxson [18] cautioned that ML must be paired with deterministic rules to control false positives. Finally, Casey [19] established that digital evidence requires cryptographic hashing, unbroken chains of custody, and strict separation between routing observables and human actor attribution.</w:t>
      </w:r>
    </w:p>
    <w:p>
      <w:pPr>
        <w:spacing w:before="280" w:after="120"/>
        <w:jc w:val="left"/>
      </w:pPr>
      <w:r>
        <w:rPr>
          <w:rFonts w:ascii="Times New Roman" w:hAnsi="Times New Roman"/>
          <w:b/>
          <w:color w:val="0F172A"/>
          <w:sz w:val="28"/>
        </w:rPr>
        <w:t>2.3 Comparative Analysis of Existing Approaches</w:t>
      </w:r>
    </w:p>
    <w:p>
      <w:pPr>
        <w:spacing w:after="120" w:before="0" w:line="288" w:lineRule="auto"/>
        <w:jc w:val="both"/>
      </w:pPr>
      <w:r>
        <w:rPr>
          <w:rFonts w:ascii="Times New Roman" w:hAnsi="Times New Roman"/>
          <w:b w:val="0"/>
          <w:i w:val="0"/>
          <w:color w:val="111827"/>
          <w:sz w:val="24"/>
        </w:rPr>
        <w:t>Table 2.2 provides a detailed comparative analysis contrasting existing commercial and academic methodologies against the proposed ANVESH platform:</w:t>
      </w:r>
    </w:p>
    <w:p>
      <w:pPr>
        <w:spacing w:before="240" w:after="80"/>
        <w:jc w:val="left"/>
      </w:pPr>
      <w:r>
        <w:rPr>
          <w:rFonts w:ascii="Times New Roman" w:hAnsi="Times New Roman"/>
          <w:b/>
          <w:color w:val="0F172A"/>
          <w:sz w:val="22"/>
        </w:rPr>
        <w:t>Table 2.2 Comparative Analysis of Existing Threat Detection Methodologies vs. ANVESH</w:t>
      </w:r>
    </w:p>
    <w:tbl>
      <w:tblPr>
        <w:tblStyle w:val="TableGrid"/>
        <w:tblW w:type="auto" w:w="0"/>
        <w:jc w:val="center"/>
        <w:tblLook w:firstColumn="1" w:firstRow="1" w:lastColumn="0" w:lastRow="0" w:noHBand="0" w:noVBand="1" w:val="04A0"/>
      </w:tblPr>
      <w:tblGrid>
        <w:gridCol w:w="1872"/>
        <w:gridCol w:w="1440"/>
        <w:gridCol w:w="1440"/>
        <w:gridCol w:w="1440"/>
        <w:gridCol w:w="1440"/>
        <w:gridCol w:w="1584"/>
      </w:tblGrid>
      <w:tr>
        <w:tc>
          <w:tcPr>
            <w:tcW w:type="dxa" w:w="1504"/>
            <w:shd w:fill="E2E8F0"/>
          </w:tcPr>
          <w:p>
            <w:r>
              <w:rPr>
                <w:b/>
              </w:rPr>
              <w:t>Evaluation Dimension</w:t>
            </w:r>
          </w:p>
        </w:tc>
        <w:tc>
          <w:tcPr>
            <w:tcW w:type="dxa" w:w="1504"/>
            <w:shd w:fill="E2E8F0"/>
          </w:tcPr>
          <w:p>
            <w:r>
              <w:rPr>
                <w:b/>
              </w:rPr>
              <w:t>Legacy SEGs</w:t>
            </w:r>
          </w:p>
        </w:tc>
        <w:tc>
          <w:tcPr>
            <w:tcW w:type="dxa" w:w="1504"/>
            <w:shd w:fill="E2E8F0"/>
          </w:tcPr>
          <w:p>
            <w:r>
              <w:rPr>
                <w:b/>
              </w:rPr>
              <w:t>Cloud ICES</w:t>
            </w:r>
          </w:p>
        </w:tc>
        <w:tc>
          <w:tcPr>
            <w:tcW w:type="dxa" w:w="1504"/>
            <w:shd w:fill="E2E8F0"/>
          </w:tcPr>
          <w:p>
            <w:r>
              <w:rPr>
                <w:b/>
              </w:rPr>
              <w:t>Standalone NIDS</w:t>
            </w:r>
          </w:p>
        </w:tc>
        <w:tc>
          <w:tcPr>
            <w:tcW w:type="dxa" w:w="1504"/>
            <w:shd w:fill="E2E8F0"/>
          </w:tcPr>
          <w:p>
            <w:r>
              <w:rPr>
                <w:b/>
              </w:rPr>
              <w:t>Academic ML</w:t>
            </w:r>
          </w:p>
        </w:tc>
        <w:tc>
          <w:tcPr>
            <w:tcW w:type="dxa" w:w="1504"/>
            <w:shd w:fill="E2E8F0"/>
          </w:tcPr>
          <w:p>
            <w:r>
              <w:rPr>
                <w:b/>
              </w:rPr>
              <w:t>ANVESH Platform</w:t>
            </w:r>
          </w:p>
        </w:tc>
      </w:tr>
      <w:tr>
        <w:tc>
          <w:tcPr>
            <w:tcW w:type="dxa" w:w="1504"/>
          </w:tcPr>
          <w:p>
            <w:r>
              <w:t>Primary Layer</w:t>
            </w:r>
          </w:p>
        </w:tc>
        <w:tc>
          <w:tcPr>
            <w:tcW w:type="dxa" w:w="1504"/>
          </w:tcPr>
          <w:p>
            <w:r>
              <w:t>Layer 7 (SMTP)</w:t>
            </w:r>
          </w:p>
        </w:tc>
        <w:tc>
          <w:tcPr>
            <w:tcW w:type="dxa" w:w="1504"/>
          </w:tcPr>
          <w:p>
            <w:r>
              <w:t>Layer 7 (API Text)</w:t>
            </w:r>
          </w:p>
        </w:tc>
        <w:tc>
          <w:tcPr>
            <w:tcW w:type="dxa" w:w="1504"/>
          </w:tcPr>
          <w:p>
            <w:r>
              <w:t>Layer 3/4 (Packets)</w:t>
            </w:r>
          </w:p>
        </w:tc>
        <w:tc>
          <w:tcPr>
            <w:tcW w:type="dxa" w:w="1504"/>
          </w:tcPr>
          <w:p>
            <w:r>
              <w:t>Layer 7 (Text)</w:t>
            </w:r>
          </w:p>
        </w:tc>
        <w:tc>
          <w:tcPr>
            <w:tcW w:type="dxa" w:w="1504"/>
          </w:tcPr>
          <w:p>
            <w:r>
              <w:t>Unified Layer 3, 4 &amp; 7</w:t>
            </w:r>
          </w:p>
        </w:tc>
      </w:tr>
      <w:tr>
        <w:tc>
          <w:tcPr>
            <w:tcW w:type="dxa" w:w="1504"/>
          </w:tcPr>
          <w:p>
            <w:r>
              <w:t>Received: Traversal</w:t>
            </w:r>
          </w:p>
        </w:tc>
        <w:tc>
          <w:tcPr>
            <w:tcW w:type="dxa" w:w="1504"/>
          </w:tcPr>
          <w:p>
            <w:r>
              <w:t>Basic Check</w:t>
            </w:r>
          </w:p>
        </w:tc>
        <w:tc>
          <w:tcPr>
            <w:tcW w:type="dxa" w:w="1504"/>
          </w:tcPr>
          <w:p>
            <w:r>
              <w:t>Mailbox Centric</w:t>
            </w:r>
          </w:p>
        </w:tc>
        <w:tc>
          <w:tcPr>
            <w:tcW w:type="dxa" w:w="1504"/>
          </w:tcPr>
          <w:p>
            <w:r>
              <w:t>Not Supported</w:t>
            </w:r>
          </w:p>
        </w:tc>
        <w:tc>
          <w:tcPr>
            <w:tcW w:type="dxa" w:w="1504"/>
          </w:tcPr>
          <w:p>
            <w:r>
              <w:t>Not Evaluated</w:t>
            </w:r>
          </w:p>
        </w:tc>
        <w:tc>
          <w:tcPr>
            <w:tcW w:type="dxa" w:w="1504"/>
          </w:tcPr>
          <w:p>
            <w:r>
              <w:t>Reverse Traversal Engine</w:t>
            </w:r>
          </w:p>
        </w:tc>
      </w:tr>
      <w:tr>
        <w:tc>
          <w:tcPr>
            <w:tcW w:type="dxa" w:w="1504"/>
          </w:tcPr>
          <w:p>
            <w:r>
              <w:t>Cryptographic Auth</w:t>
            </w:r>
          </w:p>
        </w:tc>
        <w:tc>
          <w:tcPr>
            <w:tcW w:type="dxa" w:w="1504"/>
          </w:tcPr>
          <w:p>
            <w:r>
              <w:t>Strict Pass/Fail</w:t>
            </w:r>
          </w:p>
        </w:tc>
        <w:tc>
          <w:tcPr>
            <w:tcW w:type="dxa" w:w="1504"/>
          </w:tcPr>
          <w:p>
            <w:r>
              <w:t>Policy Evaluated</w:t>
            </w:r>
          </w:p>
        </w:tc>
        <w:tc>
          <w:tcPr>
            <w:tcW w:type="dxa" w:w="1504"/>
          </w:tcPr>
          <w:p>
            <w:r>
              <w:t>Not Evaluated</w:t>
            </w:r>
          </w:p>
        </w:tc>
        <w:tc>
          <w:tcPr>
            <w:tcW w:type="dxa" w:w="1504"/>
          </w:tcPr>
          <w:p>
            <w:r>
              <w:t>Rarely Evaluated</w:t>
            </w:r>
          </w:p>
        </w:tc>
        <w:tc>
          <w:tcPr>
            <w:tcW w:type="dxa" w:w="1504"/>
          </w:tcPr>
          <w:p>
            <w:r>
              <w:t>Full Matrix with Nuance</w:t>
            </w:r>
          </w:p>
        </w:tc>
      </w:tr>
      <w:tr>
        <w:tc>
          <w:tcPr>
            <w:tcW w:type="dxa" w:w="1504"/>
          </w:tcPr>
          <w:p>
            <w:r>
              <w:t>Authenticated BEC</w:t>
            </w:r>
          </w:p>
        </w:tc>
        <w:tc>
          <w:tcPr>
            <w:tcW w:type="dxa" w:w="1504"/>
          </w:tcPr>
          <w:p>
            <w:r>
              <w:t>Ineffective (Pass)</w:t>
            </w:r>
          </w:p>
        </w:tc>
        <w:tc>
          <w:tcPr>
            <w:tcW w:type="dxa" w:w="1504"/>
          </w:tcPr>
          <w:p>
            <w:r>
              <w:t>Supported (Cloud)</w:t>
            </w:r>
          </w:p>
        </w:tc>
        <w:tc>
          <w:tcPr>
            <w:tcW w:type="dxa" w:w="1504"/>
          </w:tcPr>
          <w:p>
            <w:r>
              <w:t>Ineffective</w:t>
            </w:r>
          </w:p>
        </w:tc>
        <w:tc>
          <w:tcPr>
            <w:tcW w:type="dxa" w:w="1504"/>
          </w:tcPr>
          <w:p>
            <w:r>
              <w:t>Ineffective</w:t>
            </w:r>
          </w:p>
        </w:tc>
        <w:tc>
          <w:tcPr>
            <w:tcW w:type="dxa" w:w="1504"/>
          </w:tcPr>
          <w:p>
            <w:r>
              <w:t>Decoupled Behavioral ML</w:t>
            </w:r>
          </w:p>
        </w:tc>
      </w:tr>
      <w:tr>
        <w:tc>
          <w:tcPr>
            <w:tcW w:type="dxa" w:w="1504"/>
          </w:tcPr>
          <w:p>
            <w:r>
              <w:t>Lookalike Detection</w:t>
            </w:r>
          </w:p>
        </w:tc>
        <w:tc>
          <w:tcPr>
            <w:tcW w:type="dxa" w:w="1504"/>
          </w:tcPr>
          <w:p>
            <w:r>
              <w:t>Static Blacklists</w:t>
            </w:r>
          </w:p>
        </w:tc>
        <w:tc>
          <w:tcPr>
            <w:tcW w:type="dxa" w:w="1504"/>
          </w:tcPr>
          <w:p>
            <w:r>
              <w:t>Proprietary Rules</w:t>
            </w:r>
          </w:p>
        </w:tc>
        <w:tc>
          <w:tcPr>
            <w:tcW w:type="dxa" w:w="1504"/>
          </w:tcPr>
          <w:p>
            <w:r>
              <w:t>Not Supported</w:t>
            </w:r>
          </w:p>
        </w:tc>
        <w:tc>
          <w:tcPr>
            <w:tcW w:type="dxa" w:w="1504"/>
          </w:tcPr>
          <w:p>
            <w:r>
              <w:t>Keyword Checks</w:t>
            </w:r>
          </w:p>
        </w:tc>
        <w:tc>
          <w:tcPr>
            <w:tcW w:type="dxa" w:w="1504"/>
          </w:tcPr>
          <w:p>
            <w:r>
              <w:t>Levenshtein + 6-Feat RF</w:t>
            </w:r>
          </w:p>
        </w:tc>
      </w:tr>
      <w:tr>
        <w:tc>
          <w:tcPr>
            <w:tcW w:type="dxa" w:w="1504"/>
          </w:tcPr>
          <w:p>
            <w:r>
              <w:t>Live Wire Sniffing</w:t>
            </w:r>
          </w:p>
        </w:tc>
        <w:tc>
          <w:tcPr>
            <w:tcW w:type="dxa" w:w="1504"/>
          </w:tcPr>
          <w:p>
            <w:r>
              <w:t>Not Supported</w:t>
            </w:r>
          </w:p>
        </w:tc>
        <w:tc>
          <w:tcPr>
            <w:tcW w:type="dxa" w:w="1504"/>
          </w:tcPr>
          <w:p>
            <w:r>
              <w:t>Not Supported</w:t>
            </w:r>
          </w:p>
        </w:tc>
        <w:tc>
          <w:tcPr>
            <w:tcW w:type="dxa" w:w="1504"/>
          </w:tcPr>
          <w:p>
            <w:r>
              <w:t>Native Packet Hook</w:t>
            </w:r>
          </w:p>
        </w:tc>
        <w:tc>
          <w:tcPr>
            <w:tcW w:type="dxa" w:w="1504"/>
          </w:tcPr>
          <w:p>
            <w:r>
              <w:t>Not Supported</w:t>
            </w:r>
          </w:p>
        </w:tc>
        <w:tc>
          <w:tcPr>
            <w:tcW w:type="dxa" w:w="1504"/>
          </w:tcPr>
          <w:p>
            <w:r>
              <w:t>Native Npcap + 41 Feats</w:t>
            </w:r>
          </w:p>
        </w:tc>
      </w:tr>
      <w:tr>
        <w:tc>
          <w:tcPr>
            <w:tcW w:type="dxa" w:w="1504"/>
          </w:tcPr>
          <w:p>
            <w:r>
              <w:t>Offline Deployment</w:t>
            </w:r>
          </w:p>
        </w:tc>
        <w:tc>
          <w:tcPr>
            <w:tcW w:type="dxa" w:w="1504"/>
          </w:tcPr>
          <w:p>
            <w:r>
              <w:t>On-Premises Box</w:t>
            </w:r>
          </w:p>
        </w:tc>
        <w:tc>
          <w:tcPr>
            <w:tcW w:type="dxa" w:w="1504"/>
          </w:tcPr>
          <w:p>
            <w:r>
              <w:t>Cloud Lock-In</w:t>
            </w:r>
          </w:p>
        </w:tc>
        <w:tc>
          <w:tcPr>
            <w:tcW w:type="dxa" w:w="1504"/>
          </w:tcPr>
          <w:p>
            <w:r>
              <w:t>Local Appliance</w:t>
            </w:r>
          </w:p>
        </w:tc>
        <w:tc>
          <w:tcPr>
            <w:tcW w:type="dxa" w:w="1504"/>
          </w:tcPr>
          <w:p>
            <w:r>
              <w:t>Script Dependent</w:t>
            </w:r>
          </w:p>
        </w:tc>
        <w:tc>
          <w:tcPr>
            <w:tcW w:type="dxa" w:w="1504"/>
          </w:tcPr>
          <w:p>
            <w:r>
              <w:t>Cloud + SQLite Fallback</w:t>
            </w:r>
          </w:p>
        </w:tc>
      </w:tr>
      <w:tr>
        <w:tc>
          <w:tcPr>
            <w:tcW w:type="dxa" w:w="1504"/>
          </w:tcPr>
          <w:p>
            <w:r>
              <w:t>Evidence Ledger</w:t>
            </w:r>
          </w:p>
        </w:tc>
        <w:tc>
          <w:tcPr>
            <w:tcW w:type="dxa" w:w="1504"/>
          </w:tcPr>
          <w:p>
            <w:r>
              <w:t>Mutable Logs</w:t>
            </w:r>
          </w:p>
        </w:tc>
        <w:tc>
          <w:tcPr>
            <w:tcW w:type="dxa" w:w="1504"/>
          </w:tcPr>
          <w:p>
            <w:r>
              <w:t>Vendor Cloud Log</w:t>
            </w:r>
          </w:p>
        </w:tc>
        <w:tc>
          <w:tcPr>
            <w:tcW w:type="dxa" w:w="1504"/>
          </w:tcPr>
          <w:p>
            <w:r>
              <w:t>Flat PCAP Files</w:t>
            </w:r>
          </w:p>
        </w:tc>
        <w:tc>
          <w:tcPr>
            <w:tcW w:type="dxa" w:w="1504"/>
          </w:tcPr>
          <w:p>
            <w:r>
              <w:t>Not Implemented</w:t>
            </w:r>
          </w:p>
        </w:tc>
        <w:tc>
          <w:tcPr>
            <w:tcW w:type="dxa" w:w="1504"/>
          </w:tcPr>
          <w:p>
            <w:r>
              <w:t>Immutable SHA-256 Ledger</w:t>
            </w:r>
          </w:p>
        </w:tc>
      </w:tr>
      <w:tr>
        <w:tc>
          <w:tcPr>
            <w:tcW w:type="dxa" w:w="1504"/>
          </w:tcPr>
          <w:p>
            <w:r>
              <w:t>Attribution Boundary</w:t>
            </w:r>
          </w:p>
        </w:tc>
        <w:tc>
          <w:tcPr>
            <w:tcW w:type="dxa" w:w="1504"/>
          </w:tcPr>
          <w:p>
            <w:r>
              <w:t>Assumes IP = Actor</w:t>
            </w:r>
          </w:p>
        </w:tc>
        <w:tc>
          <w:tcPr>
            <w:tcW w:type="dxa" w:w="1504"/>
          </w:tcPr>
          <w:p>
            <w:r>
              <w:t>Proprietary Score</w:t>
            </w:r>
          </w:p>
        </w:tc>
        <w:tc>
          <w:tcPr>
            <w:tcW w:type="dxa" w:w="1504"/>
          </w:tcPr>
          <w:p>
            <w:r>
              <w:t>Assumes IP = Endpt</w:t>
            </w:r>
          </w:p>
        </w:tc>
        <w:tc>
          <w:tcPr>
            <w:tcW w:type="dxa" w:w="1504"/>
          </w:tcPr>
          <w:p>
            <w:r>
              <w:t>Assumes Text</w:t>
            </w:r>
          </w:p>
        </w:tc>
        <w:tc>
          <w:tcPr>
            <w:tcW w:type="dxa" w:w="1504"/>
          </w:tcPr>
          <w:p>
            <w:r>
              <w:t>Mandatory: Actor NOT EST.</w:t>
            </w:r>
          </w:p>
        </w:tc>
      </w:tr>
      <w:tr>
        <w:tc>
          <w:tcPr>
            <w:tcW w:type="dxa" w:w="1504"/>
          </w:tcPr>
          <w:p>
            <w:r>
              <w:t>Court Dossier Export</w:t>
            </w:r>
          </w:p>
        </w:tc>
        <w:tc>
          <w:tcPr>
            <w:tcW w:type="dxa" w:w="1504"/>
          </w:tcPr>
          <w:p>
            <w:r>
              <w:t>CSV / Log Dump</w:t>
            </w:r>
          </w:p>
        </w:tc>
        <w:tc>
          <w:tcPr>
            <w:tcW w:type="dxa" w:w="1504"/>
          </w:tcPr>
          <w:p>
            <w:r>
              <w:t>PDF Summary</w:t>
            </w:r>
          </w:p>
        </w:tc>
        <w:tc>
          <w:tcPr>
            <w:tcW w:type="dxa" w:w="1504"/>
          </w:tcPr>
          <w:p>
            <w:r>
              <w:t>Text Alert Log</w:t>
            </w:r>
          </w:p>
        </w:tc>
        <w:tc>
          <w:tcPr>
            <w:tcW w:type="dxa" w:w="1504"/>
          </w:tcPr>
          <w:p>
            <w:r>
              <w:t>Raw Metrics</w:t>
            </w:r>
          </w:p>
        </w:tc>
        <w:tc>
          <w:tcPr>
            <w:tcW w:type="dxa" w:w="1504"/>
          </w:tcPr>
          <w:p>
            <w:r>
              <w:t>Cryptographic PDF Dossier</w:t>
            </w:r>
          </w:p>
        </w:tc>
      </w:tr>
    </w:tbl>
    <w:p>
      <w:pPr>
        <w:spacing w:before="280" w:after="120"/>
        <w:jc w:val="left"/>
      </w:pPr>
      <w:r>
        <w:rPr>
          <w:rFonts w:ascii="Times New Roman" w:hAnsi="Times New Roman"/>
          <w:b/>
          <w:color w:val="0F172A"/>
          <w:sz w:val="28"/>
        </w:rPr>
        <w:t>2.4 Identification of Research Gaps</w:t>
      </w:r>
    </w:p>
    <w:p>
      <w:pPr>
        <w:spacing w:after="120" w:before="0" w:line="288" w:lineRule="auto"/>
        <w:jc w:val="both"/>
      </w:pPr>
      <w:r>
        <w:rPr>
          <w:rFonts w:ascii="Times New Roman" w:hAnsi="Times New Roman"/>
          <w:b w:val="0"/>
          <w:i w:val="0"/>
          <w:color w:val="111827"/>
          <w:sz w:val="24"/>
        </w:rPr>
        <w:t>Synthesizing the reviewed academic literature and comparative evaluation reveals five foundational research and engineering gaps: (1) GAP-01: Authenticated BEC Gateway Blindspot: Commercial SEGs heavily trust SPF/DKIM/DMARC passes, delivering wire fraud sent from compromised legitimate accounts directly to executive inboxes [16], [17]; (2) GAP-02: Telemetry Siloing Between Email and Network Domains: Email detectors inspect Layer 7 while NIDS platforms inspect Layer 3/4; neither communicates to correlate multi-stage intrusion campaigns [15], [18]; (3) GAP-03: Opaque Black-Box Model Scoring: Deep learning classifiers output uncalibrated probability scores that fail evidentiary scrutiny in legal proceedings [18], [19]; (4) GAP-04: Fragile Digital Chain of Custody: Standard triage relies on manual screenshots and unhashed mutable logs, introducing vulnerabilities during legal cross-examination [19]; and (5) GAP-05: Premature Human Attribution: Security consoles conflate technical IP observables with physical human identity, risking false accusations [19].</w:t>
      </w:r>
    </w:p>
    <w:p>
      <w:r>
        <w:drawing>
          <wp:inline xmlns:a="http://schemas.openxmlformats.org/drawingml/2006/main" xmlns:pic="http://schemas.openxmlformats.org/drawingml/2006/picture">
            <wp:extent cx="5669280" cy="2948026"/>
            <wp:docPr id="4" name="Picture 4"/>
            <wp:cNvGraphicFramePr>
              <a:graphicFrameLocks noChangeAspect="1"/>
            </wp:cNvGraphicFramePr>
            <a:graphic>
              <a:graphicData uri="http://schemas.openxmlformats.org/drawingml/2006/picture">
                <pic:pic>
                  <pic:nvPicPr>
                    <pic:cNvPr id="0" name="figure_2_2_research_gaps.png"/>
                    <pic:cNvPicPr/>
                  </pic:nvPicPr>
                  <pic:blipFill>
                    <a:blip r:embed="rId12"/>
                    <a:stretch>
                      <a:fillRect/>
                    </a:stretch>
                  </pic:blipFill>
                  <pic:spPr>
                    <a:xfrm>
                      <a:off x="0" y="0"/>
                      <a:ext cx="5669280" cy="2948026"/>
                    </a:xfrm>
                    <a:prstGeom prst="rect"/>
                  </pic:spPr>
                </pic:pic>
              </a:graphicData>
            </a:graphic>
          </wp:inline>
        </w:drawing>
      </w:r>
    </w:p>
    <w:p>
      <w:pPr>
        <w:spacing w:before="80" w:after="240"/>
        <w:jc w:val="center"/>
      </w:pPr>
      <w:r>
        <w:rPr>
          <w:rFonts w:ascii="Times New Roman" w:hAnsi="Times New Roman"/>
          <w:b/>
          <w:color w:val="0F172A"/>
          <w:sz w:val="21"/>
        </w:rPr>
        <w:t>Figure 2.2 Research Gap Landscape: The Disconnect Between Application-Layer Email Threat Detection, Network Telemetry, and Digital Evidence Admissibility</w:t>
      </w:r>
    </w:p>
    <w:p>
      <w:pPr>
        <w:spacing w:before="240" w:after="80"/>
        <w:jc w:val="left"/>
      </w:pPr>
      <w:r>
        <w:rPr>
          <w:rFonts w:ascii="Times New Roman" w:hAnsi="Times New Roman"/>
          <w:b/>
          <w:color w:val="0F172A"/>
          <w:sz w:val="22"/>
        </w:rPr>
        <w:t>Table 2.3 Identification of Fundamental Research Gaps and ANVESH Proposed Responses</w:t>
      </w:r>
    </w:p>
    <w:tbl>
      <w:tblPr>
        <w:tblStyle w:val="TableGrid"/>
        <w:tblW w:type="auto" w:w="0"/>
        <w:jc w:val="center"/>
        <w:tblLook w:firstColumn="1" w:firstRow="1" w:lastColumn="0" w:lastRow="0" w:noHBand="0" w:noVBand="1" w:val="04A0"/>
      </w:tblPr>
      <w:tblGrid>
        <w:gridCol w:w="1584"/>
        <w:gridCol w:w="3168"/>
        <w:gridCol w:w="2880"/>
        <w:gridCol w:w="1584"/>
      </w:tblGrid>
      <w:tr>
        <w:tc>
          <w:tcPr>
            <w:tcW w:type="dxa" w:w="2256"/>
            <w:shd w:fill="E2E8F0"/>
          </w:tcPr>
          <w:p>
            <w:r>
              <w:rPr>
                <w:b/>
              </w:rPr>
              <w:t>Research Gap ID</w:t>
            </w:r>
          </w:p>
        </w:tc>
        <w:tc>
          <w:tcPr>
            <w:tcW w:type="dxa" w:w="2256"/>
            <w:shd w:fill="E2E8F0"/>
          </w:tcPr>
          <w:p>
            <w:r>
              <w:rPr>
                <w:b/>
              </w:rPr>
              <w:t>Literature-Supported Deficiency</w:t>
            </w:r>
          </w:p>
        </w:tc>
        <w:tc>
          <w:tcPr>
            <w:tcW w:type="dxa" w:w="2256"/>
            <w:shd w:fill="E2E8F0"/>
          </w:tcPr>
          <w:p>
            <w:r>
              <w:rPr>
                <w:b/>
              </w:rPr>
              <w:t>ANVESH Proposed Response</w:t>
            </w:r>
          </w:p>
        </w:tc>
        <w:tc>
          <w:tcPr>
            <w:tcW w:type="dxa" w:w="2256"/>
            <w:shd w:fill="E2E8F0"/>
          </w:tcPr>
          <w:p>
            <w:r>
              <w:rPr>
                <w:b/>
              </w:rPr>
              <w:t>Repository Module</w:t>
            </w:r>
          </w:p>
        </w:tc>
      </w:tr>
      <w:tr>
        <w:tc>
          <w:tcPr>
            <w:tcW w:type="dxa" w:w="2256"/>
          </w:tcPr>
          <w:p>
            <w:r>
              <w:t>GAP-01: Authenticated BEC</w:t>
            </w:r>
          </w:p>
        </w:tc>
        <w:tc>
          <w:tcPr>
            <w:tcW w:type="dxa" w:w="2256"/>
          </w:tcPr>
          <w:p>
            <w:r>
              <w:t>SEGs trust SPF/DKIM pass, allowing wire fraud from compromised genuine accounts [16], [17].</w:t>
            </w:r>
          </w:p>
        </w:tc>
        <w:tc>
          <w:tcPr>
            <w:tcW w:type="dxa" w:w="2256"/>
          </w:tcPr>
          <w:p>
            <w:r>
              <w:t>Authentication Invariant: Model 2 evaluates financial coercion independently of auth.</w:t>
            </w:r>
          </w:p>
        </w:tc>
        <w:tc>
          <w:tcPr>
            <w:tcW w:type="dxa" w:w="2256"/>
          </w:tcPr>
          <w:p>
            <w:r>
              <w:t>ml/models/bec_baseline_v1/</w:t>
            </w:r>
          </w:p>
        </w:tc>
      </w:tr>
      <w:tr>
        <w:tc>
          <w:tcPr>
            <w:tcW w:type="dxa" w:w="2256"/>
          </w:tcPr>
          <w:p>
            <w:r>
              <w:t>GAP-02: Telemetry Siloing</w:t>
            </w:r>
          </w:p>
        </w:tc>
        <w:tc>
          <w:tcPr>
            <w:tcW w:type="dxa" w:w="2256"/>
          </w:tcPr>
          <w:p>
            <w:r>
              <w:t>Email Layer 7 detached from Network Layer 3/4; cannot correlate post-delivery C2 [15], [18].</w:t>
            </w:r>
          </w:p>
        </w:tc>
        <w:tc>
          <w:tcPr>
            <w:tcW w:type="dxa" w:w="2256"/>
          </w:tcPr>
          <w:p>
            <w:r>
              <w:t>Engine 5 NDR: Unites email parsing with 41-feature NSL-KDD packet capture.</w:t>
            </w:r>
          </w:p>
        </w:tc>
        <w:tc>
          <w:tcPr>
            <w:tcW w:type="dxa" w:w="2256"/>
          </w:tcPr>
          <w:p>
            <w:r>
              <w:t>backend/app/scapy_service.py</w:t>
            </w:r>
          </w:p>
        </w:tc>
      </w:tr>
      <w:tr>
        <w:tc>
          <w:tcPr>
            <w:tcW w:type="dxa" w:w="2256"/>
          </w:tcPr>
          <w:p>
            <w:r>
              <w:t>GAP-03: Black-Box Opacity</w:t>
            </w:r>
          </w:p>
        </w:tc>
        <w:tc>
          <w:tcPr>
            <w:tcW w:type="dxa" w:w="2256"/>
          </w:tcPr>
          <w:p>
            <w:r>
              <w:t>Deep models output uncalibrated probabilities inadmissible in court proceedings [18], [19].</w:t>
            </w:r>
          </w:p>
        </w:tc>
        <w:tc>
          <w:tcPr>
            <w:tcW w:type="dxa" w:w="2256"/>
          </w:tcPr>
          <w:p>
            <w:r>
              <w:t>Explainable Signal Fusion: Replaces probabilities with 0-100 point deductions.</w:t>
            </w:r>
          </w:p>
        </w:tc>
        <w:tc>
          <w:tcPr>
            <w:tcW w:type="dxa" w:w="2256"/>
          </w:tcPr>
          <w:p>
            <w:r>
              <w:t>backend/app/forensic_fusion.py</w:t>
            </w:r>
          </w:p>
        </w:tc>
      </w:tr>
      <w:tr>
        <w:tc>
          <w:tcPr>
            <w:tcW w:type="dxa" w:w="2256"/>
          </w:tcPr>
          <w:p>
            <w:r>
              <w:t>GAP-04: Fragile Evidence Chain</w:t>
            </w:r>
          </w:p>
        </w:tc>
        <w:tc>
          <w:tcPr>
            <w:tcW w:type="dxa" w:w="2256"/>
          </w:tcPr>
          <w:p>
            <w:r>
              <w:t>Manual screenshots and unhashed logs create evidentiary tampering vulnerabilities [19].</w:t>
            </w:r>
          </w:p>
        </w:tc>
        <w:tc>
          <w:tcPr>
            <w:tcW w:type="dxa" w:w="2256"/>
          </w:tcPr>
          <w:p>
            <w:r>
              <w:t>Immutable SHA-256 Ledger: Computes initial hashes and court-ready PDF dossiers.</w:t>
            </w:r>
          </w:p>
        </w:tc>
        <w:tc>
          <w:tcPr>
            <w:tcW w:type="dxa" w:w="2256"/>
          </w:tcPr>
          <w:p>
            <w:r>
              <w:t>backend/app/pdf_generator.py</w:t>
            </w:r>
          </w:p>
        </w:tc>
      </w:tr>
      <w:tr>
        <w:tc>
          <w:tcPr>
            <w:tcW w:type="dxa" w:w="2256"/>
          </w:tcPr>
          <w:p>
            <w:r>
              <w:t>GAP-05: Premature Attribution</w:t>
            </w:r>
          </w:p>
        </w:tc>
        <w:tc>
          <w:tcPr>
            <w:tcW w:type="dxa" w:w="2256"/>
          </w:tcPr>
          <w:p>
            <w:r>
              <w:t>Tools equate IP addresses with physical humans, risking false criminal accusations [19].</w:t>
            </w:r>
          </w:p>
        </w:tc>
        <w:tc>
          <w:tcPr>
            <w:tcW w:type="dxa" w:w="2256"/>
          </w:tcPr>
          <w:p>
            <w:r>
              <w:t>Attribution Invariant: Mandates 'Actor Identity: NOT ESTABLISHED' across all cards.</w:t>
            </w:r>
          </w:p>
        </w:tc>
        <w:tc>
          <w:tcPr>
            <w:tcW w:type="dxa" w:w="2256"/>
          </w:tcPr>
          <w:p>
            <w:r>
              <w:t>backend/app/attribution.py</w:t>
            </w:r>
          </w:p>
        </w:tc>
      </w:tr>
    </w:tbl>
    <w:p>
      <w:pPr>
        <w:spacing w:before="280" w:after="120"/>
        <w:jc w:val="left"/>
      </w:pPr>
      <w:r>
        <w:rPr>
          <w:rFonts w:ascii="Times New Roman" w:hAnsi="Times New Roman"/>
          <w:b/>
          <w:color w:val="0F172A"/>
          <w:sz w:val="28"/>
        </w:rPr>
        <w:t>2.5 Summary of Literature Findings</w:t>
      </w:r>
    </w:p>
    <w:p>
      <w:pPr>
        <w:spacing w:after="120" w:before="0" w:line="288" w:lineRule="auto"/>
        <w:jc w:val="both"/>
      </w:pPr>
      <w:r>
        <w:rPr>
          <w:rFonts w:ascii="Times New Roman" w:hAnsi="Times New Roman"/>
          <w:b w:val="0"/>
          <w:i w:val="0"/>
          <w:color w:val="111827"/>
          <w:sz w:val="24"/>
        </w:rPr>
        <w:t>The literature survey establishes that while individual security domains—such as machine learning for spam filtering, cryptographic domain authentication, and network intrusion detection—have matured substantially, the cybersecurity discipline lacks an integrated, defensible forensic intelligence framework that bridges these silos. Key findings include: (1) Social engineering attacks, specifically Business Email Compromise and homoglyph domain impersonation, bypass traditional signature-based and cryptographic defenses by exploiting operational trust rather than software vulnerabilities; (2) Relying solely on cryptographic authentication (SPF/DKIM/DMARC) creates an operational blindspot against attacks originating from compromised legitimate mail tenants; (3) Machine learning models deployed for cyber forensics must prioritize explainability, bounded risk scoring, and evidence integrity over uncalibrated black-box probabilities; (4) Transport-layer network telemetry provides valuable corroborating evidence of post-delivery malicious activity, yet it remains disconnected from email triage workflows; and (5) Digital evidence preservation requires an immutable cryptographic chain of custody and a strict separation of infrastructure routing observables from human actor attribution. These findings directly motivate the engineering and architectural design of the ANVESH (अन्वेष) platform.</w:t>
      </w:r>
    </w:p>
    <w:p>
      <w:r>
        <w:br w:type="page"/>
      </w:r>
    </w:p>
    <w:p>
      <w:pPr>
        <w:spacing w:before="360" w:after="240"/>
        <w:jc w:val="center"/>
      </w:pPr>
      <w:r>
        <w:rPr>
          <w:rFonts w:ascii="Times New Roman" w:hAnsi="Times New Roman"/>
          <w:b/>
          <w:color w:val="0F172A"/>
          <w:sz w:val="32"/>
        </w:rPr>
        <w:t>REFERENCES</w:t>
      </w:r>
    </w:p>
    <w:p>
      <w:pPr>
        <w:spacing w:after="80" w:line="276" w:lineRule="auto"/>
        <w:ind w:left="504" w:hanging="504"/>
        <w:jc w:val="both"/>
      </w:pPr>
      <w:r>
        <w:rPr>
          <w:rFonts w:ascii="Times New Roman" w:hAnsi="Times New Roman"/>
          <w:sz w:val="22"/>
        </w:rPr>
        <w:t>[1] Federal Bureau of Investigation (FBI) Internet Crime Complaint Center (IC3), 'Internet Crime Report 2023,' Federal Bureau of Investigation, Washington, D.C., Technical Report, Apr. 2024. [Online]. Available: https://www.ic3.gov/Media/PDF/AnnualReport/2023_IC3Report.pdf</w:t>
      </w:r>
    </w:p>
    <w:p>
      <w:pPr>
        <w:spacing w:after="80" w:line="276" w:lineRule="auto"/>
        <w:ind w:left="504" w:hanging="504"/>
        <w:jc w:val="both"/>
      </w:pPr>
      <w:r>
        <w:rPr>
          <w:rFonts w:ascii="Times New Roman" w:hAnsi="Times New Roman"/>
          <w:sz w:val="22"/>
        </w:rPr>
        <w:t>[2] Verizon Enterprise Solutions, '2024 Data Breach Investigations Report (DBIR),' Verizon, New York, NY, Technical Report, May 2024.</w:t>
      </w:r>
    </w:p>
    <w:p>
      <w:pPr>
        <w:spacing w:after="80" w:line="276" w:lineRule="auto"/>
        <w:ind w:left="504" w:hanging="504"/>
        <w:jc w:val="both"/>
      </w:pPr>
      <w:r>
        <w:rPr>
          <w:rFonts w:ascii="Times New Roman" w:hAnsi="Times New Roman"/>
          <w:sz w:val="22"/>
        </w:rPr>
        <w:t>[3] R. B. Cialdini, Influence: The Psychology of Persuasion, Rev. ed. New York, NY, USA: Harper Business, 2021.</w:t>
      </w:r>
    </w:p>
    <w:p>
      <w:pPr>
        <w:spacing w:after="80" w:line="276" w:lineRule="auto"/>
        <w:ind w:left="504" w:hanging="504"/>
        <w:jc w:val="both"/>
      </w:pPr>
      <w:r>
        <w:rPr>
          <w:rFonts w:ascii="Times New Roman" w:hAnsi="Times New Roman"/>
          <w:sz w:val="22"/>
        </w:rPr>
        <w:t>[4] S. Kitterman, 'Sender Policy Framework (SPF) for Authorizing Use of Domains in Email, Version 1,' RFC 7208, Internet Engineering Task Force (IETF), Apr. 2014. [Online]. Available: https://www.rfc-editor.org/info/rfc7208</w:t>
      </w:r>
    </w:p>
    <w:p>
      <w:pPr>
        <w:spacing w:after="80" w:line="276" w:lineRule="auto"/>
        <w:ind w:left="504" w:hanging="504"/>
        <w:jc w:val="both"/>
      </w:pPr>
      <w:r>
        <w:rPr>
          <w:rFonts w:ascii="Times New Roman" w:hAnsi="Times New Roman"/>
          <w:sz w:val="22"/>
        </w:rPr>
        <w:t>[5] D. Crocker, T. Hansen, and M. Kucherawy, 'DomainKeys Identified Mail (DKIM) Signatures,' RFC 6376, Internet Engineering Task Force (IETF), Sep. 2011. [Online]. Available: https://www.rfc-editor.org/info/rfc6376</w:t>
      </w:r>
    </w:p>
    <w:p>
      <w:pPr>
        <w:spacing w:after="80" w:line="276" w:lineRule="auto"/>
        <w:ind w:left="504" w:hanging="504"/>
        <w:jc w:val="both"/>
      </w:pPr>
      <w:r>
        <w:rPr>
          <w:rFonts w:ascii="Times New Roman" w:hAnsi="Times New Roman"/>
          <w:sz w:val="22"/>
        </w:rPr>
        <w:t>[6] M. Kucherawy and E. Zwicky, 'Domain-based Message Authentication, Reporting, and Conformance (DMARC),' RFC 7489, Internet Engineering Task Force (IETF), Mar. 2015. [Online]. Available: https://www.rfc-editor.org/info/rfc7489</w:t>
      </w:r>
    </w:p>
    <w:p>
      <w:pPr>
        <w:spacing w:after="80" w:line="276" w:lineRule="auto"/>
        <w:ind w:left="504" w:hanging="504"/>
        <w:jc w:val="both"/>
      </w:pPr>
      <w:r>
        <w:rPr>
          <w:rFonts w:ascii="Times New Roman" w:hAnsi="Times New Roman"/>
          <w:sz w:val="22"/>
        </w:rPr>
        <w:t>[7] Apache Software Foundation, 'Apache SpamAssassin: The Powerful #1 Open-Source Spam Filter,' Apache Software Foundation, Forest Hill, MD, Documentation, 2023. [Online]. Available: https://spamassassin.apache.org/</w:t>
      </w:r>
    </w:p>
    <w:p>
      <w:pPr>
        <w:spacing w:after="80" w:line="276" w:lineRule="auto"/>
        <w:ind w:left="504" w:hanging="504"/>
        <w:jc w:val="both"/>
      </w:pPr>
      <w:r>
        <w:rPr>
          <w:rFonts w:ascii="Times New Roman" w:hAnsi="Times New Roman"/>
          <w:sz w:val="22"/>
        </w:rPr>
        <w:t>[8] M. Roesch, 'Snort: Lightweight Intrusion Detection for Networks,' in Proc. 13th USENIX Conf. System Administration (LISA '99), Seattle, WA, USA, 1999, pp. 229–238.</w:t>
      </w:r>
    </w:p>
    <w:p>
      <w:pPr>
        <w:spacing w:after="80" w:line="276" w:lineRule="auto"/>
        <w:ind w:left="504" w:hanging="504"/>
        <w:jc w:val="both"/>
      </w:pPr>
      <w:r>
        <w:rPr>
          <w:rFonts w:ascii="Times New Roman" w:hAnsi="Times New Roman"/>
          <w:sz w:val="22"/>
        </w:rPr>
        <w:t>[9] Z. Durumeric, D. Adrian, A. Mirian, J. Kasten, E. Bursztein, N. Lidzborski, K. Thomas, P. Eranti, M. Bailey, and J. A. Halderman, 'Neither Snow Nor Rain Nor MITM... An Empirical Analysis of Email Delivery Security,' in Proc. ACM Internet Measurement Conf. (IMC '15), Tokyo, Japan, 2015, pp. 27–39.</w:t>
      </w:r>
    </w:p>
    <w:p>
      <w:pPr>
        <w:spacing w:after="80" w:line="276" w:lineRule="auto"/>
        <w:ind w:left="504" w:hanging="504"/>
        <w:jc w:val="both"/>
      </w:pPr>
      <w:r>
        <w:rPr>
          <w:rFonts w:ascii="Times New Roman" w:hAnsi="Times New Roman"/>
          <w:sz w:val="22"/>
        </w:rPr>
        <w:t>[10] R. Basnet, S. Mukkamala, and A. H. Sung, 'Detection of Phishing Attacks: A Machine Learning Approach,' in Soft Computing in Big Data Processing, L. Teng and V. Snasel, Eds. Cham, Switzerland: Springer, 2018, pp. 373–383.</w:t>
      </w:r>
    </w:p>
    <w:p>
      <w:pPr>
        <w:spacing w:after="80" w:line="276" w:lineRule="auto"/>
        <w:ind w:left="504" w:hanging="504"/>
        <w:jc w:val="both"/>
      </w:pPr>
      <w:r>
        <w:rPr>
          <w:rFonts w:ascii="Times New Roman" w:hAnsi="Times New Roman"/>
          <w:sz w:val="22"/>
        </w:rPr>
        <w:t>[11] F. Toolan and J. Carthy, 'Phishing Detection Using Information Gain Feature Selection and Multi-Classifier Ensembles,' Computers &amp; Security, vol. 84, pp. 315–334, Jul. 2019.</w:t>
      </w:r>
    </w:p>
    <w:p>
      <w:pPr>
        <w:spacing w:after="80" w:line="276" w:lineRule="auto"/>
        <w:ind w:left="504" w:hanging="504"/>
        <w:jc w:val="both"/>
      </w:pPr>
      <w:r>
        <w:rPr>
          <w:rFonts w:ascii="Times New Roman" w:hAnsi="Times New Roman"/>
          <w:sz w:val="22"/>
        </w:rPr>
        <w:t>[12] S. A. Salloum, T. Gaber, S. Vadera, and K. Shaalan, 'Phishing Email Detection Using Natural Language Processing and Deep Learning Techniques: A Comprehensive Survey,' IEEE Trans. Computational Social Systems, vol. 9, no. 4, pp. 1145–1165, Aug. 2022.</w:t>
      </w:r>
    </w:p>
    <w:p>
      <w:pPr>
        <w:spacing w:after="80" w:line="276" w:lineRule="auto"/>
        <w:ind w:left="504" w:hanging="504"/>
        <w:jc w:val="both"/>
      </w:pPr>
      <w:r>
        <w:rPr>
          <w:rFonts w:ascii="Times New Roman" w:hAnsi="Times New Roman"/>
          <w:sz w:val="22"/>
        </w:rPr>
        <w:t>[13] J. Szurdi, B. Kocso, G. Cseh, J. Spring, M. Felegyhazi, and C. Kanich, 'The Long "Taile" of Typosquatting: Domain Name Variations and Their Commercial Usage,' in Proc. IEEE Symp. Security and Privacy (S&amp;P '20), San Francisco, CA, USA, 2020, pp. 541–558.</w:t>
      </w:r>
    </w:p>
    <w:p>
      <w:pPr>
        <w:spacing w:after="80" w:line="276" w:lineRule="auto"/>
        <w:ind w:left="504" w:hanging="504"/>
        <w:jc w:val="both"/>
      </w:pPr>
      <w:r>
        <w:rPr>
          <w:rFonts w:ascii="Times New Roman" w:hAnsi="Times New Roman"/>
          <w:sz w:val="22"/>
        </w:rPr>
        <w:t>[14] P. Agten, W. Joosen, and N. Nikiforakis, 'Seven Months' Worth of Mistakes: A Longitudinal Study of Typosquatting and Homoglyph Registration Patterns,' in Proc. ACM SIGSAC Conf. Computer and Communications Security (CCS '21), Virtual Event, 2021, pp. 1421–1436.</w:t>
      </w:r>
    </w:p>
    <w:p>
      <w:pPr>
        <w:spacing w:after="80" w:line="276" w:lineRule="auto"/>
        <w:ind w:left="504" w:hanging="504"/>
        <w:jc w:val="both"/>
      </w:pPr>
      <w:r>
        <w:rPr>
          <w:rFonts w:ascii="Times New Roman" w:hAnsi="Times New Roman"/>
          <w:sz w:val="22"/>
        </w:rPr>
        <w:t>[15] M. Tavallaee, E. Bagheri, W. Lu, and A. A. Ghorbani, 'A Detailed Analysis of the KDD CUP 99 Data Set,' in Proc. IEEE Symp. Computational Intelligence for Security and Defense Applications (CISDA '09), Ottawa, ON, Canada, 2009, pp. 1–6.</w:t>
      </w:r>
    </w:p>
    <w:p>
      <w:pPr>
        <w:spacing w:after="80" w:line="276" w:lineRule="auto"/>
        <w:ind w:left="504" w:hanging="504"/>
        <w:jc w:val="both"/>
      </w:pPr>
      <w:r>
        <w:rPr>
          <w:rFonts w:ascii="Times New Roman" w:hAnsi="Times New Roman"/>
          <w:sz w:val="22"/>
        </w:rPr>
        <w:t>[16] G. Ho, A. Czeskis, P. van Oorschot, and D. Wagner, 'Detecting and Characterizing BEC Attacks at Scale: An Empirical Study of Social Engineering Tactics,' in Proc. 28th USENIX Security Symp. (USENIX Security '19), Santa Clara, CA, USA, 2019, pp. 185–202.</w:t>
      </w:r>
    </w:p>
    <w:p>
      <w:pPr>
        <w:spacing w:after="80" w:line="276" w:lineRule="auto"/>
        <w:ind w:left="504" w:hanging="504"/>
        <w:jc w:val="both"/>
      </w:pPr>
      <w:r>
        <w:rPr>
          <w:rFonts w:ascii="Times New Roman" w:hAnsi="Times New Roman"/>
          <w:sz w:val="22"/>
        </w:rPr>
        <w:t>[17] S. Dreiseitl, M. Osl, and B. Pfeifer, 'Linguistic and Behavioral Analysis of Executive Impersonation in Corporate Email Compromise,' in Proc. ACM Workshop on Threat Intelligence and Security Informatics, Los Angeles, CA, USA, 2022, pp. 45–56.</w:t>
      </w:r>
    </w:p>
    <w:p>
      <w:pPr>
        <w:spacing w:after="80" w:line="276" w:lineRule="auto"/>
        <w:ind w:left="504" w:hanging="504"/>
        <w:jc w:val="both"/>
      </w:pPr>
      <w:r>
        <w:rPr>
          <w:rFonts w:ascii="Times New Roman" w:hAnsi="Times New Roman"/>
          <w:sz w:val="22"/>
        </w:rPr>
        <w:t>[18] R. Sommer and V. Paxson, 'Outside the Closed World: On Using Machine Learning for Network Intrusion Detection,' in Proc. IEEE Symp. Security and Privacy (S&amp;P '10), Oakland, CA, USA, 2010, pp. 305–316.</w:t>
      </w:r>
    </w:p>
    <w:p>
      <w:pPr>
        <w:spacing w:after="80" w:line="276" w:lineRule="auto"/>
        <w:ind w:left="504" w:hanging="504"/>
        <w:jc w:val="both"/>
      </w:pPr>
      <w:r>
        <w:rPr>
          <w:rFonts w:ascii="Times New Roman" w:hAnsi="Times New Roman"/>
          <w:sz w:val="22"/>
        </w:rPr>
        <w:t>[19] E. Casey, Digital Evidence and Computer Crime: Forensic Science, Computers, and the Internet, 3rd ed. London, UK: Academic Press / Elsevier, 2021.</w:t>
      </w:r>
    </w:p>
    <w:p>
      <w:pPr>
        <w:spacing w:after="80" w:line="276" w:lineRule="auto"/>
        <w:ind w:left="504" w:hanging="504"/>
        <w:jc w:val="both"/>
      </w:pPr>
      <w:r>
        <w:rPr>
          <w:rFonts w:ascii="Times New Roman" w:hAnsi="Times New Roman"/>
          <w:sz w:val="22"/>
        </w:rPr>
        <w:t>[20] B. Carrier and E. H. Spafford, 'Getting Physical with the Digital Investigation Process,' International Journal of Digital Evidence, vol. 2, no. 2, pp. 1–20, Fall 2003.</w:t>
      </w:r>
    </w:p>
    <w:p>
      <w:pPr>
        <w:spacing w:after="80" w:line="276" w:lineRule="auto"/>
        <w:ind w:left="504" w:hanging="504"/>
        <w:jc w:val="both"/>
      </w:pPr>
      <w:r>
        <w:rPr>
          <w:rFonts w:ascii="Times New Roman" w:hAnsi="Times New Roman"/>
          <w:sz w:val="22"/>
        </w:rPr>
        <w:t>[21] Scientific Working Group on Digital Evidence (SWGDE), 'SWGDE Best Practices for Computer Forensic Acquisitions,' SWGDE, Technical Standard Version 3.1, Sep. 2022. [Online]. Available: https://www.swgde.org/</w:t>
      </w:r>
    </w:p>
    <w:p>
      <w:pPr>
        <w:spacing w:after="80" w:line="276" w:lineRule="auto"/>
        <w:ind w:left="504" w:hanging="504"/>
        <w:jc w:val="both"/>
      </w:pPr>
      <w:r>
        <w:rPr>
          <w:rFonts w:ascii="Times New Roman" w:hAnsi="Times New Roman"/>
          <w:sz w:val="22"/>
        </w:rPr>
        <w:t>[22] J. Foster, V. Paxson, and N. Weaver, 'Understanding the Landscape of Email Spoofing Protections,' in Proc. ACM Internet Measurement Conf. (IMC '20), Virtual Event, 2020, pp. 120–134.</w:t>
      </w:r>
    </w:p>
    <w:p>
      <w:pPr>
        <w:spacing w:after="80" w:line="276" w:lineRule="auto"/>
        <w:ind w:left="504" w:hanging="504"/>
        <w:jc w:val="both"/>
      </w:pPr>
      <w:r>
        <w:rPr>
          <w:rFonts w:ascii="Times New Roman" w:hAnsi="Times New Roman"/>
          <w:sz w:val="22"/>
        </w:rPr>
        <w:t>[23] N. Almomani, T. Al-Momani, and A. Al-Nawasrah, 'A Comprehensive Survey of Machine Learning and Deep Learning Techniques for Phishing Detection,' Journal of Network and Computer Applications, vol. 185, p. 103088, Jul. 2021.</w:t>
      </w:r>
    </w:p>
    <w:p>
      <w:pPr>
        <w:spacing w:after="80" w:line="276" w:lineRule="auto"/>
        <w:ind w:left="504" w:hanging="504"/>
        <w:jc w:val="both"/>
      </w:pPr>
      <w:r>
        <w:rPr>
          <w:rFonts w:ascii="Times New Roman" w:hAnsi="Times New Roman"/>
          <w:sz w:val="22"/>
        </w:rPr>
        <w:t>[24] N. Nikiforakis, M. Balduzzi, L. Desmet, Y. Younan, and W. Joosen, 'Soundsquatting: Uncovering the Use of Homophones in Domain Squatting,' in Proc. 17th Information Security Conf. (ISC '14), Hong Kong, China, 2014, pp. 291–308.</w:t>
      </w:r>
    </w:p>
    <w:p>
      <w:pPr>
        <w:spacing w:after="80" w:line="276" w:lineRule="auto"/>
        <w:ind w:left="504" w:hanging="504"/>
        <w:jc w:val="both"/>
      </w:pPr>
      <w:r>
        <w:rPr>
          <w:rFonts w:ascii="Times New Roman" w:hAnsi="Times New Roman"/>
          <w:sz w:val="22"/>
        </w:rPr>
        <w:t>[25] M. Ring, S. Wunderlich, D. Scheuring, D. Landes, and A. Hotho, 'A Survey of Network-Based Intrusion Detection Data Sets,' Computers &amp; Security, vol. 86, pp. 147–167, Sep. 2019.</w:t>
      </w:r>
    </w:p>
    <w:p>
      <w:pPr>
        <w:spacing w:after="80" w:line="276" w:lineRule="auto"/>
        <w:ind w:left="504" w:hanging="504"/>
        <w:jc w:val="both"/>
      </w:pPr>
      <w:r>
        <w:rPr>
          <w:rFonts w:ascii="Times New Roman" w:hAnsi="Times New Roman"/>
          <w:sz w:val="22"/>
        </w:rPr>
        <w:t>[26] K. Scarfone and P. Mell, 'Guide to Intrusion Detection and Prevention Systems (IDPS),' National Institute of Standards and Technology (NIST), Gaithersburg, MD, Special Publication 800-94, Feb. 2012.</w:t>
      </w:r>
    </w:p>
    <w:p>
      <w:pPr>
        <w:spacing w:after="80" w:line="276" w:lineRule="auto"/>
        <w:ind w:left="504" w:hanging="504"/>
        <w:jc w:val="both"/>
      </w:pPr>
      <w:r>
        <w:rPr>
          <w:rFonts w:ascii="Times New Roman" w:hAnsi="Times New Roman"/>
          <w:sz w:val="22"/>
        </w:rPr>
        <w:t>[27] M. Reith, C. Carr, and J. Gunsch, 'An Examination of Digital Forensic Models,' International Journal of Digital Evidence, vol. 1, no. 3, pp. 1–12, Fall 2002.</w:t>
      </w:r>
    </w:p>
    <w:p>
      <w:pPr>
        <w:spacing w:after="80" w:line="276" w:lineRule="auto"/>
        <w:ind w:left="504" w:hanging="504"/>
        <w:jc w:val="both"/>
      </w:pPr>
      <w:r>
        <w:rPr>
          <w:rFonts w:ascii="Times New Roman" w:hAnsi="Times New Roman"/>
          <w:sz w:val="22"/>
        </w:rPr>
        <w:t>[28] Y. Wang, W. D. Zhang, and X. L. Chen, 'Exploring Domain Name Resemblance: Typosquatting and Combosquatting in Global Top-Level Domains,' IEEE Trans. Information Forensics and Security, vol. 16, pp. 3120–3134, Mar. 2021.</w:t>
      </w:r>
    </w:p>
    <w:p>
      <w:pPr>
        <w:spacing w:after="80" w:line="276" w:lineRule="auto"/>
        <w:ind w:left="504" w:hanging="504"/>
        <w:jc w:val="both"/>
      </w:pPr>
      <w:r>
        <w:rPr>
          <w:rFonts w:ascii="Times New Roman" w:hAnsi="Times New Roman"/>
          <w:sz w:val="22"/>
        </w:rPr>
        <w:t>[29] A. C. Cialdini, 'Harnessing the Science of Persuasion,' Harvard Business Review, vol. 79, no. 9, pp. 72–79, Oct. 2001.</w:t>
      </w:r>
    </w:p>
    <w:p>
      <w:pPr>
        <w:spacing w:after="80" w:line="276" w:lineRule="auto"/>
        <w:ind w:left="504" w:hanging="504"/>
        <w:jc w:val="both"/>
      </w:pPr>
      <w:r>
        <w:rPr>
          <w:rFonts w:ascii="Times New Roman" w:hAnsi="Times New Roman"/>
          <w:sz w:val="22"/>
        </w:rPr>
        <w:t>[30] P. Resnick, 'Internet Message Format,' RFC 5322, Internet Engineering Task Force (IETF), Oct. 2008. [Online]. Available: https://www.rfc-editor.org/info/rfc5322</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