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56"/>
      </w:tblGrid>
      <w:tr w:rsidR="00C544E4" w14:paraId="5F2DD145" w14:textId="77777777" w:rsidTr="00B30EE5">
        <w:tc>
          <w:tcPr>
            <w:tcW w:w="5000" w:type="pct"/>
          </w:tcPr>
          <w:p w14:paraId="10F9EE0B" w14:textId="77777777" w:rsidR="00C544E4" w:rsidRDefault="00C544E4" w:rsidP="00C544E4">
            <w:pPr>
              <w:rPr>
                <w:lang w:val="sv-SE"/>
              </w:rPr>
            </w:pPr>
            <w:r w:rsidRPr="00C544E4">
              <w:rPr>
                <w:lang w:val="sv-SE"/>
              </w:rPr>
              <w:t>Skriv ner den kemiska-formeln för natriumvätesulfid.</w:t>
            </w:r>
          </w:p>
        </w:tc>
      </w:tr>
      <w:tr w:rsidR="00C544E4" w14:paraId="65EB7035" w14:textId="77777777" w:rsidTr="00B30EE5">
        <w:tc>
          <w:tcPr>
            <w:tcW w:w="5000" w:type="pct"/>
          </w:tcPr>
          <w:p w14:paraId="7BC22386" w14:textId="77777777" w:rsidR="00C544E4" w:rsidRDefault="00C544E4" w:rsidP="00C544E4">
            <w:pPr>
              <w:rPr>
                <w:lang w:val="sv-SE"/>
              </w:rPr>
            </w:pPr>
          </w:p>
          <w:p w14:paraId="61D9B540" w14:textId="77777777" w:rsidR="00C544E4" w:rsidRDefault="00C544E4" w:rsidP="00C544E4">
            <w:pPr>
              <w:rPr>
                <w:lang w:val="sv-SE"/>
              </w:rPr>
            </w:pPr>
          </w:p>
          <w:p w14:paraId="780B55E7" w14:textId="77777777" w:rsidR="00C544E4" w:rsidRDefault="00C544E4" w:rsidP="00C544E4">
            <w:pPr>
              <w:rPr>
                <w:lang w:val="sv-SE"/>
              </w:rPr>
            </w:pPr>
          </w:p>
        </w:tc>
      </w:tr>
      <w:tr w:rsidR="00C544E4" w14:paraId="795196DA" w14:textId="77777777" w:rsidTr="00B30EE5">
        <w:tc>
          <w:tcPr>
            <w:tcW w:w="5000" w:type="pct"/>
          </w:tcPr>
          <w:p w14:paraId="143C93AC" w14:textId="77777777" w:rsidR="00C544E4" w:rsidRPr="00C544E4" w:rsidRDefault="00C544E4" w:rsidP="00C544E4">
            <w:pPr>
              <w:rPr>
                <w:lang w:val="sv-SE"/>
              </w:rPr>
            </w:pPr>
            <w:r w:rsidRPr="00C544E4">
              <w:rPr>
                <w:lang w:val="sv-SE"/>
              </w:rPr>
              <w:t>Skriv reaktionsformel för reaktionen som sker när natriumvätesulfid löses upp i vatten.</w:t>
            </w:r>
          </w:p>
          <w:p w14:paraId="72F9EEF8" w14:textId="77777777" w:rsidR="00C544E4" w:rsidRDefault="00C544E4" w:rsidP="00C544E4">
            <w:pPr>
              <w:rPr>
                <w:lang w:val="sv-SE"/>
              </w:rPr>
            </w:pPr>
          </w:p>
        </w:tc>
      </w:tr>
      <w:tr w:rsidR="00C544E4" w14:paraId="6958D65A" w14:textId="77777777" w:rsidTr="00B30EE5">
        <w:tc>
          <w:tcPr>
            <w:tcW w:w="5000" w:type="pct"/>
          </w:tcPr>
          <w:p w14:paraId="4A1525A7" w14:textId="77777777" w:rsidR="00C544E4" w:rsidRDefault="00C544E4" w:rsidP="00C544E4">
            <w:pPr>
              <w:rPr>
                <w:lang w:val="sv-SE"/>
              </w:rPr>
            </w:pPr>
          </w:p>
          <w:p w14:paraId="28524645" w14:textId="77777777" w:rsidR="00C544E4" w:rsidRDefault="00C544E4" w:rsidP="00C544E4">
            <w:pPr>
              <w:rPr>
                <w:lang w:val="sv-SE"/>
              </w:rPr>
            </w:pPr>
          </w:p>
          <w:p w14:paraId="775E8D4B" w14:textId="77777777" w:rsidR="00C544E4" w:rsidRDefault="00C544E4" w:rsidP="00C544E4">
            <w:pPr>
              <w:rPr>
                <w:lang w:val="sv-SE"/>
              </w:rPr>
            </w:pPr>
          </w:p>
          <w:p w14:paraId="015F7A59" w14:textId="77777777" w:rsidR="00C544E4" w:rsidRDefault="00C544E4" w:rsidP="00C544E4">
            <w:pPr>
              <w:rPr>
                <w:lang w:val="sv-SE"/>
              </w:rPr>
            </w:pPr>
          </w:p>
          <w:p w14:paraId="46E564CD" w14:textId="77777777" w:rsidR="00C544E4" w:rsidRDefault="00C544E4" w:rsidP="00C544E4">
            <w:pPr>
              <w:rPr>
                <w:lang w:val="sv-SE"/>
              </w:rPr>
            </w:pPr>
          </w:p>
        </w:tc>
      </w:tr>
      <w:tr w:rsidR="00C544E4" w14:paraId="165EC93F" w14:textId="77777777" w:rsidTr="00B30EE5">
        <w:tc>
          <w:tcPr>
            <w:tcW w:w="5000" w:type="pct"/>
          </w:tcPr>
          <w:p w14:paraId="102423BF" w14:textId="77777777" w:rsidR="00C544E4" w:rsidRDefault="00C544E4" w:rsidP="00C544E4">
            <w:pPr>
              <w:rPr>
                <w:lang w:val="sv-SE"/>
              </w:rPr>
            </w:pPr>
            <w:r w:rsidRPr="00C544E4">
              <w:rPr>
                <w:lang w:val="sv-SE"/>
              </w:rPr>
              <w:t>Vilka två joner bildas i huvudsak när natriumvätesulfid löses upp?</w:t>
            </w:r>
          </w:p>
          <w:p w14:paraId="557C2330" w14:textId="77777777" w:rsidR="00C544E4" w:rsidRDefault="00C544E4" w:rsidP="00C544E4">
            <w:pPr>
              <w:rPr>
                <w:lang w:val="sv-SE"/>
              </w:rPr>
            </w:pPr>
          </w:p>
        </w:tc>
      </w:tr>
      <w:tr w:rsidR="00C544E4" w14:paraId="125A7F8C" w14:textId="77777777" w:rsidTr="00B30EE5">
        <w:tc>
          <w:tcPr>
            <w:tcW w:w="5000" w:type="pct"/>
          </w:tcPr>
          <w:p w14:paraId="4D5B4370" w14:textId="77777777" w:rsidR="00C544E4" w:rsidRDefault="00C544E4" w:rsidP="00C544E4">
            <w:pPr>
              <w:rPr>
                <w:lang w:val="sv-SE"/>
              </w:rPr>
            </w:pPr>
          </w:p>
          <w:p w14:paraId="4136F974" w14:textId="77777777" w:rsidR="00C544E4" w:rsidRDefault="00C544E4" w:rsidP="00C544E4">
            <w:pPr>
              <w:rPr>
                <w:lang w:val="sv-SE"/>
              </w:rPr>
            </w:pPr>
          </w:p>
          <w:p w14:paraId="750CA1D7" w14:textId="77777777" w:rsidR="00C544E4" w:rsidRDefault="00C544E4" w:rsidP="00C544E4">
            <w:pPr>
              <w:rPr>
                <w:lang w:val="sv-SE"/>
              </w:rPr>
            </w:pPr>
          </w:p>
          <w:p w14:paraId="00A9B8FC" w14:textId="77777777" w:rsidR="00C544E4" w:rsidRDefault="00C544E4" w:rsidP="00C544E4">
            <w:pPr>
              <w:rPr>
                <w:lang w:val="sv-SE"/>
              </w:rPr>
            </w:pPr>
          </w:p>
          <w:p w14:paraId="0A2A430A" w14:textId="77777777" w:rsidR="00C544E4" w:rsidRDefault="00C544E4" w:rsidP="00C544E4">
            <w:pPr>
              <w:rPr>
                <w:lang w:val="sv-SE"/>
              </w:rPr>
            </w:pPr>
          </w:p>
        </w:tc>
      </w:tr>
      <w:tr w:rsidR="00C544E4" w14:paraId="611C1FC6" w14:textId="77777777" w:rsidTr="00B30EE5">
        <w:tc>
          <w:tcPr>
            <w:tcW w:w="5000" w:type="pct"/>
          </w:tcPr>
          <w:p w14:paraId="34DBE395" w14:textId="77777777" w:rsidR="00C544E4" w:rsidRPr="00C544E4" w:rsidRDefault="00C544E4" w:rsidP="00C544E4">
            <w:pPr>
              <w:rPr>
                <w:lang w:val="sv-SE"/>
              </w:rPr>
            </w:pPr>
            <w:r w:rsidRPr="00C544E4">
              <w:rPr>
                <w:lang w:val="sv-SE"/>
              </w:rPr>
              <w:t xml:space="preserve">Några av vätesulfidmolekylerna reagerar vidare med vattenmolekylerna. Detta kan ske på två sätt eftersom vätesulfidmolekylen är en amfolyt.  </w:t>
            </w:r>
            <w:r>
              <w:rPr>
                <w:lang w:val="sv-SE"/>
              </w:rPr>
              <w:t xml:space="preserve"> Skriv reaktionsformel för båda möjliga reaktionerna. Ange också i vilken av reaktionerna som vätesulfiden agerar som en bas respektive syra.</w:t>
            </w:r>
          </w:p>
          <w:p w14:paraId="72B6926C" w14:textId="77777777" w:rsidR="00C544E4" w:rsidRDefault="00C544E4" w:rsidP="00C544E4">
            <w:pPr>
              <w:rPr>
                <w:lang w:val="sv-SE"/>
              </w:rPr>
            </w:pPr>
          </w:p>
        </w:tc>
      </w:tr>
      <w:tr w:rsidR="00C544E4" w14:paraId="4FBAEE0E" w14:textId="77777777" w:rsidTr="00B30EE5">
        <w:tc>
          <w:tcPr>
            <w:tcW w:w="5000" w:type="pct"/>
          </w:tcPr>
          <w:p w14:paraId="0EFBCBC5" w14:textId="77777777" w:rsidR="00C544E4" w:rsidRPr="0007303E" w:rsidRDefault="0007303E" w:rsidP="00C544E4">
            <w:pPr>
              <w:rPr>
                <w:b/>
                <w:lang w:val="sv-SE"/>
              </w:rPr>
            </w:pPr>
            <w:r w:rsidRPr="0007303E">
              <w:rPr>
                <w:b/>
                <w:lang w:val="sv-SE"/>
              </w:rPr>
              <w:t>Bild 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70"/>
            </w:tblGrid>
            <w:tr w:rsidR="00C544E4" w14:paraId="5D0C5D88" w14:textId="77777777" w:rsidTr="00C544E4">
              <w:tc>
                <w:tcPr>
                  <w:tcW w:w="8470" w:type="dxa"/>
                </w:tcPr>
                <w:p w14:paraId="6CC4FA10" w14:textId="77777777" w:rsidR="00C544E4" w:rsidRDefault="00C544E4" w:rsidP="00C544E4">
                  <w:pPr>
                    <w:rPr>
                      <w:lang w:val="sv-SE"/>
                    </w:rPr>
                  </w:pPr>
                </w:p>
                <w:p w14:paraId="5BBA2C2D" w14:textId="77777777" w:rsidR="00C544E4" w:rsidRDefault="00C544E4" w:rsidP="00C544E4">
                  <w:pPr>
                    <w:rPr>
                      <w:lang w:val="sv-SE"/>
                    </w:rPr>
                  </w:pPr>
                </w:p>
                <w:p w14:paraId="103D97A3" w14:textId="77777777" w:rsidR="00C544E4" w:rsidRDefault="00C544E4" w:rsidP="00C544E4">
                  <w:pPr>
                    <w:rPr>
                      <w:lang w:val="sv-SE"/>
                    </w:rPr>
                  </w:pPr>
                </w:p>
                <w:p w14:paraId="25EF012A" w14:textId="77777777" w:rsidR="00C544E4" w:rsidRDefault="00C544E4" w:rsidP="00C544E4">
                  <w:pPr>
                    <w:rPr>
                      <w:lang w:val="sv-SE"/>
                    </w:rPr>
                  </w:pPr>
                </w:p>
              </w:tc>
            </w:tr>
            <w:tr w:rsidR="00C544E4" w14:paraId="748937CE" w14:textId="77777777" w:rsidTr="00C544E4">
              <w:tc>
                <w:tcPr>
                  <w:tcW w:w="8470" w:type="dxa"/>
                </w:tcPr>
                <w:p w14:paraId="3E6D09DE" w14:textId="77777777" w:rsidR="00C544E4" w:rsidRDefault="00C544E4" w:rsidP="00C544E4">
                  <w:pPr>
                    <w:rPr>
                      <w:lang w:val="sv-SE"/>
                    </w:rPr>
                  </w:pPr>
                </w:p>
                <w:p w14:paraId="78204CDB" w14:textId="77777777" w:rsidR="00C544E4" w:rsidRDefault="00C544E4" w:rsidP="00C544E4">
                  <w:pPr>
                    <w:rPr>
                      <w:lang w:val="sv-SE"/>
                    </w:rPr>
                  </w:pPr>
                </w:p>
                <w:p w14:paraId="0A316B24" w14:textId="77777777" w:rsidR="00C544E4" w:rsidRDefault="00C544E4" w:rsidP="00C544E4">
                  <w:pPr>
                    <w:rPr>
                      <w:lang w:val="sv-SE"/>
                    </w:rPr>
                  </w:pPr>
                </w:p>
                <w:p w14:paraId="24E8080A" w14:textId="77777777" w:rsidR="00C544E4" w:rsidRDefault="00C544E4" w:rsidP="00C544E4">
                  <w:pPr>
                    <w:rPr>
                      <w:lang w:val="sv-SE"/>
                    </w:rPr>
                  </w:pPr>
                </w:p>
              </w:tc>
            </w:tr>
          </w:tbl>
          <w:p w14:paraId="4F2EC150" w14:textId="77777777" w:rsidR="00C544E4" w:rsidRDefault="00C544E4" w:rsidP="00C544E4">
            <w:pPr>
              <w:rPr>
                <w:lang w:val="sv-SE"/>
              </w:rPr>
            </w:pPr>
          </w:p>
        </w:tc>
      </w:tr>
      <w:tr w:rsidR="00C544E4" w14:paraId="0375C083" w14:textId="77777777" w:rsidTr="00B30EE5">
        <w:tc>
          <w:tcPr>
            <w:tcW w:w="5000" w:type="pct"/>
          </w:tcPr>
          <w:p w14:paraId="514B80AD" w14:textId="77777777" w:rsidR="00C544E4" w:rsidRPr="006A68EA" w:rsidRDefault="006A68EA" w:rsidP="00C544E4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 xml:space="preserve">Givet att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sv-SE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sv-SE"/>
                </w:rPr>
                <m:t>=</m:t>
              </m:r>
              <m:r>
                <w:rPr>
                  <w:rFonts w:ascii="Cambria Math" w:hAnsi="Cambria Math"/>
                  <w:lang w:val="sv-SE"/>
                </w:rPr>
                <m:t>8.9∙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-8</m:t>
                  </m:r>
                </m:sup>
              </m:sSup>
            </m:oMath>
          </w:p>
          <w:p w14:paraId="589454C6" w14:textId="77777777" w:rsidR="006A68EA" w:rsidRDefault="006A68EA" w:rsidP="00C544E4">
            <w:pPr>
              <w:rPr>
                <w:lang w:val="sv-SE"/>
              </w:rPr>
            </w:pPr>
            <w:r>
              <w:rPr>
                <w:lang w:val="sv-SE"/>
              </w:rPr>
              <w:t xml:space="preserve">Beräkna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HS</m:t>
                      </m:r>
                    </m:e>
                    <m:sup>
                      <m:r>
                        <w:rPr>
                          <w:rFonts w:ascii="Cambria Math" w:hAnsi="Cambria Math"/>
                          <w:lang w:val="sv-SE"/>
                        </w:rPr>
                        <m:t>-</m:t>
                      </m:r>
                    </m:sup>
                  </m:sSup>
                </m:e>
              </m:d>
            </m:oMath>
          </w:p>
          <w:p w14:paraId="4D85074C" w14:textId="77777777" w:rsidR="00E607B7" w:rsidRDefault="00E607B7" w:rsidP="00C544E4">
            <w:pPr>
              <w:rPr>
                <w:lang w:val="sv-SE"/>
              </w:rPr>
            </w:pPr>
          </w:p>
        </w:tc>
      </w:tr>
      <w:tr w:rsidR="00C544E4" w14:paraId="06587B1C" w14:textId="77777777" w:rsidTr="00B30EE5">
        <w:tc>
          <w:tcPr>
            <w:tcW w:w="5000" w:type="pct"/>
          </w:tcPr>
          <w:p w14:paraId="57670328" w14:textId="77777777" w:rsidR="00C544E4" w:rsidRPr="006A68EA" w:rsidRDefault="006A68EA" w:rsidP="00C544E4">
            <w:pPr>
              <w:rPr>
                <w:rFonts w:ascii="Times" w:hAnsi="Times"/>
                <w:sz w:val="16"/>
                <w:szCs w:val="16"/>
                <w:lang w:val="sv-SE"/>
              </w:rPr>
            </w:pPr>
            <w:r w:rsidRPr="006A68EA">
              <w:rPr>
                <w:rFonts w:ascii="Times" w:hAnsi="Times"/>
                <w:sz w:val="16"/>
                <w:szCs w:val="16"/>
                <w:lang w:val="sv-SE"/>
              </w:rPr>
              <w:t>Beräkning:</w:t>
            </w:r>
          </w:p>
          <w:p w14:paraId="25F0FDC2" w14:textId="77777777" w:rsidR="006A68EA" w:rsidRDefault="006A68EA" w:rsidP="00C544E4">
            <w:pPr>
              <w:rPr>
                <w:lang w:val="sv-SE"/>
              </w:rPr>
            </w:pPr>
          </w:p>
          <w:p w14:paraId="2943C85B" w14:textId="77777777" w:rsidR="006A68EA" w:rsidRDefault="006A68EA" w:rsidP="00C544E4">
            <w:pPr>
              <w:rPr>
                <w:lang w:val="sv-SE"/>
              </w:rPr>
            </w:pPr>
          </w:p>
          <w:p w14:paraId="286A0C79" w14:textId="77777777" w:rsidR="006A68EA" w:rsidRDefault="006A68EA" w:rsidP="00C544E4">
            <w:pPr>
              <w:rPr>
                <w:lang w:val="sv-SE"/>
              </w:rPr>
            </w:pPr>
          </w:p>
          <w:p w14:paraId="076D4764" w14:textId="77777777" w:rsidR="006A68EA" w:rsidRDefault="006A68EA" w:rsidP="00C544E4">
            <w:pPr>
              <w:rPr>
                <w:lang w:val="sv-SE"/>
              </w:rPr>
            </w:pPr>
          </w:p>
        </w:tc>
      </w:tr>
      <w:tr w:rsidR="00C544E4" w14:paraId="02C2B62F" w14:textId="77777777" w:rsidTr="00B30EE5">
        <w:tc>
          <w:tcPr>
            <w:tcW w:w="5000" w:type="pct"/>
          </w:tcPr>
          <w:p w14:paraId="0B7781FE" w14:textId="77777777" w:rsidR="006A68EA" w:rsidRDefault="006A68EA" w:rsidP="006A68EA">
            <w:pPr>
              <w:rPr>
                <w:lang w:val="sv-SE"/>
              </w:rPr>
            </w:pPr>
            <w:r>
              <w:rPr>
                <w:lang w:val="sv-SE"/>
              </w:rPr>
              <w:t xml:space="preserve">Går det att beräkna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HS</m:t>
                      </m:r>
                    </m:e>
                    <m:sup>
                      <m:r>
                        <w:rPr>
                          <w:rFonts w:ascii="Cambria Math" w:hAnsi="Cambria Math"/>
                          <w:lang w:val="sv-SE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sv-SE"/>
                </w:rPr>
                <m:t xml:space="preserve"> </m:t>
              </m:r>
            </m:oMath>
            <w:r>
              <w:rPr>
                <w:rFonts w:eastAsiaTheme="minorEastAsia"/>
                <w:lang w:val="sv-SE"/>
              </w:rPr>
              <w:t xml:space="preserve">med informationen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sv-SE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sv-SE"/>
                </w:rPr>
                <m:t>=8.9∙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-8</m:t>
                  </m:r>
                </m:sup>
              </m:sSup>
            </m:oMath>
          </w:p>
        </w:tc>
      </w:tr>
      <w:tr w:rsidR="00C544E4" w14:paraId="2E21309A" w14:textId="77777777" w:rsidTr="00B30EE5">
        <w:tc>
          <w:tcPr>
            <w:tcW w:w="5000" w:type="pct"/>
          </w:tcPr>
          <w:p w14:paraId="02D3D270" w14:textId="77777777" w:rsidR="006A68EA" w:rsidRPr="006A68EA" w:rsidRDefault="006A68EA" w:rsidP="006A68EA">
            <w:pPr>
              <w:rPr>
                <w:rFonts w:ascii="Times" w:hAnsi="Times"/>
                <w:sz w:val="16"/>
                <w:szCs w:val="16"/>
                <w:lang w:val="sv-SE"/>
              </w:rPr>
            </w:pPr>
            <w:r w:rsidRPr="006A68EA">
              <w:rPr>
                <w:rFonts w:ascii="Times" w:hAnsi="Times"/>
                <w:sz w:val="16"/>
                <w:szCs w:val="16"/>
                <w:lang w:val="sv-SE"/>
              </w:rPr>
              <w:t>Beräkning:</w:t>
            </w:r>
          </w:p>
          <w:p w14:paraId="133CD05C" w14:textId="77777777" w:rsidR="00C544E4" w:rsidRDefault="00C544E4" w:rsidP="00C544E4">
            <w:pPr>
              <w:rPr>
                <w:lang w:val="sv-SE"/>
              </w:rPr>
            </w:pPr>
          </w:p>
          <w:p w14:paraId="1F121058" w14:textId="77777777" w:rsidR="006A68EA" w:rsidRDefault="006A68EA" w:rsidP="00C544E4">
            <w:pPr>
              <w:rPr>
                <w:lang w:val="sv-SE"/>
              </w:rPr>
            </w:pPr>
          </w:p>
          <w:p w14:paraId="1309B14B" w14:textId="77777777" w:rsidR="006A68EA" w:rsidRDefault="006A68EA" w:rsidP="00C544E4">
            <w:pPr>
              <w:rPr>
                <w:lang w:val="sv-SE"/>
              </w:rPr>
            </w:pPr>
          </w:p>
          <w:p w14:paraId="75E349C8" w14:textId="77777777" w:rsidR="006A68EA" w:rsidRDefault="006A68EA" w:rsidP="00C544E4">
            <w:pPr>
              <w:rPr>
                <w:lang w:val="sv-SE"/>
              </w:rPr>
            </w:pPr>
          </w:p>
          <w:p w14:paraId="2B927F0F" w14:textId="77777777" w:rsidR="006A68EA" w:rsidRDefault="006A68EA" w:rsidP="00C544E4">
            <w:pPr>
              <w:rPr>
                <w:lang w:val="sv-SE"/>
              </w:rPr>
            </w:pPr>
          </w:p>
        </w:tc>
      </w:tr>
      <w:tr w:rsidR="00C544E4" w14:paraId="51BCFE08" w14:textId="77777777" w:rsidTr="00B30EE5">
        <w:tc>
          <w:tcPr>
            <w:tcW w:w="5000" w:type="pct"/>
          </w:tcPr>
          <w:p w14:paraId="4A5248BB" w14:textId="77777777" w:rsidR="0009065C" w:rsidRDefault="0009065C" w:rsidP="00C544E4">
            <w:pPr>
              <w:rPr>
                <w:lang w:val="sv-SE"/>
              </w:rPr>
            </w:pPr>
            <w:r>
              <w:rPr>
                <w:lang w:val="sv-SE"/>
              </w:rPr>
              <w:lastRenderedPageBreak/>
              <w:t xml:space="preserve">Givet att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HS</m:t>
                      </m:r>
                    </m:e>
                    <m:sup>
                      <m:r>
                        <w:rPr>
                          <w:rFonts w:ascii="Cambria Math" w:hAnsi="Cambria Math"/>
                          <w:lang w:val="sv-SE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sv-SE"/>
                </w:rPr>
                <m:t>=</m:t>
              </m:r>
            </m:oMath>
            <w:r w:rsidR="0007303E">
              <w:rPr>
                <w:rFonts w:eastAsiaTheme="minorEastAsia"/>
                <w:lang w:val="sv-SE"/>
              </w:rPr>
              <w:t xml:space="preserve"> . gör en uppskattning angående åt vilket håll jämvikterna i bild 1 är förskjutna.</w:t>
            </w:r>
          </w:p>
        </w:tc>
      </w:tr>
      <w:tr w:rsidR="00C544E4" w14:paraId="5EE21AA5" w14:textId="77777777" w:rsidTr="00B30EE5">
        <w:tc>
          <w:tcPr>
            <w:tcW w:w="5000" w:type="pct"/>
          </w:tcPr>
          <w:p w14:paraId="5A6A596A" w14:textId="77777777" w:rsidR="00C544E4" w:rsidRDefault="00C544E4" w:rsidP="00C544E4">
            <w:pPr>
              <w:rPr>
                <w:lang w:val="sv-SE"/>
              </w:rPr>
            </w:pPr>
          </w:p>
          <w:p w14:paraId="3CF50F8D" w14:textId="77777777" w:rsidR="0007303E" w:rsidRDefault="0007303E" w:rsidP="00C544E4">
            <w:pPr>
              <w:rPr>
                <w:lang w:val="sv-SE"/>
              </w:rPr>
            </w:pPr>
          </w:p>
          <w:p w14:paraId="2062581C" w14:textId="77777777" w:rsidR="0007303E" w:rsidRDefault="0007303E" w:rsidP="00C544E4">
            <w:pPr>
              <w:rPr>
                <w:lang w:val="sv-SE"/>
              </w:rPr>
            </w:pPr>
          </w:p>
          <w:p w14:paraId="77DAF360" w14:textId="77777777" w:rsidR="0007303E" w:rsidRDefault="0007303E" w:rsidP="00C544E4">
            <w:pPr>
              <w:rPr>
                <w:lang w:val="sv-SE"/>
              </w:rPr>
            </w:pPr>
          </w:p>
          <w:p w14:paraId="25B79579" w14:textId="77777777" w:rsidR="0007303E" w:rsidRDefault="0007303E" w:rsidP="00C544E4">
            <w:pPr>
              <w:rPr>
                <w:lang w:val="sv-SE"/>
              </w:rPr>
            </w:pPr>
          </w:p>
          <w:p w14:paraId="0EEE1681" w14:textId="77777777" w:rsidR="0007303E" w:rsidRDefault="0007303E" w:rsidP="00C544E4">
            <w:pPr>
              <w:rPr>
                <w:lang w:val="sv-SE"/>
              </w:rPr>
            </w:pPr>
          </w:p>
        </w:tc>
      </w:tr>
      <w:tr w:rsidR="00C544E4" w14:paraId="11093A41" w14:textId="77777777" w:rsidTr="00B30EE5">
        <w:tc>
          <w:tcPr>
            <w:tcW w:w="5000" w:type="pct"/>
          </w:tcPr>
          <w:p w14:paraId="2325063B" w14:textId="77777777" w:rsidR="00C544E4" w:rsidRDefault="00A6628E" w:rsidP="00C544E4">
            <w:pPr>
              <w:rPr>
                <w:rFonts w:eastAsiaTheme="minorEastAsia"/>
                <w:lang w:val="sv-SE"/>
              </w:rPr>
            </w:pPr>
            <w:r>
              <w:rPr>
                <w:lang w:val="sv-SE"/>
              </w:rPr>
              <w:t xml:space="preserve">Antag att vi helt försummar reaktionen där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HS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-</m:t>
                  </m:r>
                </m:sup>
              </m:sSup>
            </m:oMath>
            <w:r>
              <w:rPr>
                <w:rFonts w:eastAsiaTheme="minorEastAsia"/>
                <w:lang w:val="sv-SE"/>
              </w:rPr>
              <w:t xml:space="preserve"> agerar som en syra. </w:t>
            </w:r>
          </w:p>
          <w:p w14:paraId="5E6CDA8D" w14:textId="77777777" w:rsidR="00A6628E" w:rsidRDefault="00581CC5" w:rsidP="00C544E4">
            <w:pPr>
              <w:rPr>
                <w:lang w:val="sv-SE"/>
              </w:rPr>
            </w:pPr>
            <w:r>
              <w:rPr>
                <w:rFonts w:eastAsiaTheme="minorEastAsia"/>
                <w:lang w:val="sv-SE"/>
              </w:rPr>
              <w:t>Beräkna pH i en lösning</w:t>
            </w:r>
            <w:r w:rsidR="00A6628E">
              <w:rPr>
                <w:rFonts w:eastAsiaTheme="minorEastAsia"/>
                <w:lang w:val="sv-SE"/>
              </w:rPr>
              <w:t xml:space="preserve"> av natriumvätesulfid med koncentrationen </w:t>
            </w:r>
            <w:r>
              <w:rPr>
                <w:rFonts w:eastAsiaTheme="minorEastAsia"/>
                <w:lang w:val="sv-SE"/>
              </w:rPr>
              <w:t>0.1 mol/liter.</w:t>
            </w:r>
            <w:r w:rsidR="00662452">
              <w:rPr>
                <w:rFonts w:eastAsiaTheme="minorEastAsia"/>
                <w:lang w:val="sv-SE"/>
              </w:rPr>
              <w:t xml:space="preserve"> OBS använd en ICE tabell.</w:t>
            </w:r>
          </w:p>
        </w:tc>
      </w:tr>
      <w:tr w:rsidR="00C544E4" w14:paraId="37CDAA68" w14:textId="77777777" w:rsidTr="00B30EE5">
        <w:tc>
          <w:tcPr>
            <w:tcW w:w="5000" w:type="pct"/>
          </w:tcPr>
          <w:p w14:paraId="2A0C79BA" w14:textId="77777777" w:rsidR="00581CC5" w:rsidRPr="006A68EA" w:rsidRDefault="00581CC5" w:rsidP="00581CC5">
            <w:pPr>
              <w:rPr>
                <w:rFonts w:ascii="Times" w:hAnsi="Times"/>
                <w:sz w:val="16"/>
                <w:szCs w:val="16"/>
                <w:lang w:val="sv-SE"/>
              </w:rPr>
            </w:pPr>
            <w:r w:rsidRPr="006A68EA">
              <w:rPr>
                <w:rFonts w:ascii="Times" w:hAnsi="Times"/>
                <w:sz w:val="16"/>
                <w:szCs w:val="16"/>
                <w:lang w:val="sv-SE"/>
              </w:rPr>
              <w:t>Beräkning:</w:t>
            </w:r>
          </w:p>
          <w:p w14:paraId="3BA68B32" w14:textId="77777777" w:rsidR="00C544E4" w:rsidRDefault="00C544E4" w:rsidP="00C544E4">
            <w:pPr>
              <w:rPr>
                <w:lang w:val="sv-SE"/>
              </w:rPr>
            </w:pPr>
          </w:p>
          <w:p w14:paraId="7F36C099" w14:textId="77777777" w:rsidR="00581CC5" w:rsidRDefault="00581CC5" w:rsidP="00C544E4">
            <w:pPr>
              <w:rPr>
                <w:lang w:val="sv-SE"/>
              </w:rPr>
            </w:pPr>
          </w:p>
          <w:p w14:paraId="728799B3" w14:textId="77777777" w:rsidR="00662452" w:rsidRDefault="00662452" w:rsidP="00C544E4">
            <w:pPr>
              <w:rPr>
                <w:lang w:val="sv-SE"/>
              </w:rPr>
            </w:pPr>
          </w:p>
          <w:p w14:paraId="57206C6D" w14:textId="77777777" w:rsidR="00662452" w:rsidRDefault="00662452" w:rsidP="00C544E4">
            <w:pPr>
              <w:rPr>
                <w:lang w:val="sv-SE"/>
              </w:rPr>
            </w:pPr>
          </w:p>
          <w:p w14:paraId="11EC69F1" w14:textId="77777777" w:rsidR="00581CC5" w:rsidRDefault="00581CC5" w:rsidP="00C544E4">
            <w:pPr>
              <w:rPr>
                <w:lang w:val="sv-SE"/>
              </w:rPr>
            </w:pPr>
          </w:p>
          <w:p w14:paraId="35A8FBF2" w14:textId="77777777" w:rsidR="00581CC5" w:rsidRDefault="00581CC5" w:rsidP="00C544E4">
            <w:pPr>
              <w:rPr>
                <w:lang w:val="sv-SE"/>
              </w:rPr>
            </w:pPr>
          </w:p>
          <w:p w14:paraId="2ED65200" w14:textId="77777777" w:rsidR="00662452" w:rsidRDefault="00662452" w:rsidP="00C544E4">
            <w:pPr>
              <w:rPr>
                <w:lang w:val="sv-SE"/>
              </w:rPr>
            </w:pPr>
          </w:p>
          <w:p w14:paraId="6F1490BB" w14:textId="77777777" w:rsidR="00662452" w:rsidRDefault="00662452" w:rsidP="00C544E4">
            <w:pPr>
              <w:rPr>
                <w:lang w:val="sv-SE"/>
              </w:rPr>
            </w:pPr>
          </w:p>
          <w:p w14:paraId="030141C2" w14:textId="77777777" w:rsidR="00581CC5" w:rsidRDefault="00581CC5" w:rsidP="00C544E4">
            <w:pPr>
              <w:rPr>
                <w:lang w:val="sv-SE"/>
              </w:rPr>
            </w:pPr>
          </w:p>
          <w:p w14:paraId="624471A3" w14:textId="77777777" w:rsidR="00662452" w:rsidRDefault="00662452" w:rsidP="00C544E4">
            <w:pPr>
              <w:rPr>
                <w:lang w:val="sv-SE"/>
              </w:rPr>
            </w:pPr>
          </w:p>
          <w:p w14:paraId="76C862F7" w14:textId="77777777" w:rsidR="00662452" w:rsidRDefault="00662452" w:rsidP="00C544E4">
            <w:pPr>
              <w:rPr>
                <w:lang w:val="sv-SE"/>
              </w:rPr>
            </w:pPr>
          </w:p>
          <w:p w14:paraId="00898C07" w14:textId="77777777" w:rsidR="00581CC5" w:rsidRDefault="00581CC5" w:rsidP="00C544E4">
            <w:pPr>
              <w:rPr>
                <w:lang w:val="sv-SE"/>
              </w:rPr>
            </w:pPr>
          </w:p>
        </w:tc>
      </w:tr>
      <w:tr w:rsidR="00581CC5" w14:paraId="27FE3446" w14:textId="77777777" w:rsidTr="00B30EE5">
        <w:tc>
          <w:tcPr>
            <w:tcW w:w="5000" w:type="pct"/>
          </w:tcPr>
          <w:p w14:paraId="680F24A8" w14:textId="77777777" w:rsidR="00581CC5" w:rsidRDefault="00E24B18" w:rsidP="00C544E4">
            <w:pPr>
              <w:rPr>
                <w:lang w:val="sv-SE"/>
              </w:rPr>
            </w:pPr>
            <w:r>
              <w:rPr>
                <w:lang w:val="sv-SE"/>
              </w:rPr>
              <w:t xml:space="preserve">Hur många procent av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HS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-</m:t>
                  </m:r>
                </m:sup>
              </m:sSup>
            </m:oMath>
            <w:r>
              <w:rPr>
                <w:rFonts w:eastAsiaTheme="minorEastAsia"/>
                <w:lang w:val="sv-SE"/>
              </w:rPr>
              <w:t xml:space="preserve"> molekylerna har tagit upp en vätejon och blivit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>S</m:t>
              </m:r>
            </m:oMath>
          </w:p>
        </w:tc>
      </w:tr>
      <w:tr w:rsidR="00581CC5" w14:paraId="69AAE204" w14:textId="77777777" w:rsidTr="00B30EE5">
        <w:tc>
          <w:tcPr>
            <w:tcW w:w="5000" w:type="pct"/>
          </w:tcPr>
          <w:p w14:paraId="5E2822D7" w14:textId="77777777" w:rsidR="00361564" w:rsidRPr="006A68EA" w:rsidRDefault="00361564" w:rsidP="00361564">
            <w:pPr>
              <w:rPr>
                <w:rFonts w:ascii="Times" w:hAnsi="Times"/>
                <w:sz w:val="16"/>
                <w:szCs w:val="16"/>
                <w:lang w:val="sv-SE"/>
              </w:rPr>
            </w:pPr>
            <w:r w:rsidRPr="006A68EA">
              <w:rPr>
                <w:rFonts w:ascii="Times" w:hAnsi="Times"/>
                <w:sz w:val="16"/>
                <w:szCs w:val="16"/>
                <w:lang w:val="sv-SE"/>
              </w:rPr>
              <w:t>Beräkning:</w:t>
            </w:r>
          </w:p>
          <w:p w14:paraId="44CD81E6" w14:textId="77777777" w:rsidR="00581CC5" w:rsidRDefault="00581CC5" w:rsidP="00C544E4">
            <w:pPr>
              <w:rPr>
                <w:lang w:val="sv-SE"/>
              </w:rPr>
            </w:pPr>
          </w:p>
          <w:p w14:paraId="1AFD2EB2" w14:textId="77777777" w:rsidR="00361564" w:rsidRDefault="00361564" w:rsidP="00C544E4">
            <w:pPr>
              <w:rPr>
                <w:lang w:val="sv-SE"/>
              </w:rPr>
            </w:pPr>
          </w:p>
          <w:p w14:paraId="7DF529D8" w14:textId="77777777" w:rsidR="00361564" w:rsidRDefault="00361564" w:rsidP="00C544E4">
            <w:pPr>
              <w:rPr>
                <w:lang w:val="sv-SE"/>
              </w:rPr>
            </w:pPr>
          </w:p>
          <w:p w14:paraId="415332BD" w14:textId="77777777" w:rsidR="00361564" w:rsidRDefault="00361564" w:rsidP="00C544E4">
            <w:pPr>
              <w:rPr>
                <w:lang w:val="sv-SE"/>
              </w:rPr>
            </w:pPr>
          </w:p>
          <w:p w14:paraId="2FCE4C76" w14:textId="77777777" w:rsidR="008372F9" w:rsidRDefault="008372F9" w:rsidP="00C544E4">
            <w:pPr>
              <w:rPr>
                <w:lang w:val="sv-SE"/>
              </w:rPr>
            </w:pPr>
          </w:p>
          <w:p w14:paraId="18580F81" w14:textId="77777777" w:rsidR="008372F9" w:rsidRDefault="008372F9" w:rsidP="00C544E4">
            <w:pPr>
              <w:rPr>
                <w:lang w:val="sv-SE"/>
              </w:rPr>
            </w:pPr>
          </w:p>
          <w:p w14:paraId="05578A07" w14:textId="77777777" w:rsidR="008372F9" w:rsidRDefault="008372F9" w:rsidP="00C544E4">
            <w:pPr>
              <w:rPr>
                <w:lang w:val="sv-SE"/>
              </w:rPr>
            </w:pPr>
          </w:p>
          <w:p w14:paraId="0A56F0EF" w14:textId="77777777" w:rsidR="008372F9" w:rsidRDefault="008372F9" w:rsidP="00C544E4">
            <w:pPr>
              <w:rPr>
                <w:lang w:val="sv-SE"/>
              </w:rPr>
            </w:pPr>
          </w:p>
          <w:p w14:paraId="4465B1C1" w14:textId="77777777" w:rsidR="008372F9" w:rsidRDefault="008372F9" w:rsidP="00C544E4">
            <w:pPr>
              <w:rPr>
                <w:lang w:val="sv-SE"/>
              </w:rPr>
            </w:pPr>
          </w:p>
          <w:p w14:paraId="0C61040C" w14:textId="77777777" w:rsidR="008372F9" w:rsidRDefault="008372F9" w:rsidP="00C544E4">
            <w:pPr>
              <w:rPr>
                <w:lang w:val="sv-SE"/>
              </w:rPr>
            </w:pPr>
          </w:p>
          <w:p w14:paraId="00E4E60D" w14:textId="77777777" w:rsidR="00662452" w:rsidRDefault="00662452" w:rsidP="00C544E4">
            <w:pPr>
              <w:rPr>
                <w:lang w:val="sv-SE"/>
              </w:rPr>
            </w:pPr>
          </w:p>
          <w:p w14:paraId="685A4235" w14:textId="77777777" w:rsidR="00361564" w:rsidRDefault="00361564" w:rsidP="00C544E4">
            <w:pPr>
              <w:rPr>
                <w:lang w:val="sv-SE"/>
              </w:rPr>
            </w:pPr>
          </w:p>
        </w:tc>
      </w:tr>
      <w:tr w:rsidR="00581CC5" w14:paraId="2D377ABA" w14:textId="77777777" w:rsidTr="00B30EE5">
        <w:tc>
          <w:tcPr>
            <w:tcW w:w="5000" w:type="pct"/>
          </w:tcPr>
          <w:p w14:paraId="5BAD94EF" w14:textId="77777777" w:rsidR="00581CC5" w:rsidRDefault="00662452" w:rsidP="00C544E4">
            <w:pPr>
              <w:rPr>
                <w:lang w:val="sv-SE"/>
              </w:rPr>
            </w:pPr>
            <w:r>
              <w:rPr>
                <w:lang w:val="sv-SE"/>
              </w:rPr>
              <w:t>Antag nu att du tar 100 ml av en lösning 0.1 molarig natriumvätesulfid</w:t>
            </w:r>
            <w:r w:rsidR="008372F9">
              <w:rPr>
                <w:lang w:val="sv-SE"/>
              </w:rPr>
              <w:t xml:space="preserve"> (lösning A)</w:t>
            </w:r>
            <w:r>
              <w:rPr>
                <w:lang w:val="sv-SE"/>
              </w:rPr>
              <w:t xml:space="preserve"> och 150 ml av en lösning divätesulfid </w:t>
            </w:r>
            <w:r w:rsidR="008372F9">
              <w:rPr>
                <w:lang w:val="sv-SE"/>
              </w:rPr>
              <w:t xml:space="preserve">(lösning B) </w:t>
            </w:r>
            <w:r>
              <w:rPr>
                <w:lang w:val="sv-SE"/>
              </w:rPr>
              <w:t xml:space="preserve">med samma koncentration och blandar dessa. </w:t>
            </w:r>
            <w:r w:rsidR="008372F9">
              <w:rPr>
                <w:lang w:val="sv-SE"/>
              </w:rPr>
              <w:t>Detta är lösning C</w:t>
            </w:r>
            <w:r>
              <w:rPr>
                <w:lang w:val="sv-SE"/>
              </w:rPr>
              <w:t xml:space="preserve">. Skriv ner reaktionsformeln för när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>S</m:t>
              </m:r>
            </m:oMath>
            <w:r>
              <w:rPr>
                <w:rFonts w:eastAsiaTheme="minorEastAsia"/>
                <w:lang w:val="sv-SE"/>
              </w:rPr>
              <w:t xml:space="preserve"> och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HS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-</m:t>
                  </m:r>
                </m:sup>
              </m:sSup>
            </m:oMath>
            <w:r>
              <w:rPr>
                <w:rFonts w:eastAsiaTheme="minorEastAsia"/>
                <w:lang w:val="sv-SE"/>
              </w:rPr>
              <w:t xml:space="preserve"> reagerar. Är detta en jämviktsreaktion? Motivera.</w:t>
            </w:r>
          </w:p>
        </w:tc>
      </w:tr>
      <w:tr w:rsidR="00581CC5" w14:paraId="234DE2FB" w14:textId="77777777" w:rsidTr="00B30EE5">
        <w:tc>
          <w:tcPr>
            <w:tcW w:w="5000" w:type="pct"/>
          </w:tcPr>
          <w:p w14:paraId="446C0C9C" w14:textId="77777777" w:rsidR="00662452" w:rsidRPr="006A68EA" w:rsidRDefault="00662452" w:rsidP="00662452">
            <w:pPr>
              <w:rPr>
                <w:rFonts w:ascii="Times" w:hAnsi="Times"/>
                <w:sz w:val="16"/>
                <w:szCs w:val="16"/>
                <w:lang w:val="sv-SE"/>
              </w:rPr>
            </w:pPr>
            <w:r>
              <w:rPr>
                <w:rFonts w:ascii="Times" w:hAnsi="Times"/>
                <w:sz w:val="16"/>
                <w:szCs w:val="16"/>
                <w:lang w:val="sv-SE"/>
              </w:rPr>
              <w:t>Reatkionsformel</w:t>
            </w:r>
            <w:r w:rsidRPr="006A68EA">
              <w:rPr>
                <w:rFonts w:ascii="Times" w:hAnsi="Times"/>
                <w:sz w:val="16"/>
                <w:szCs w:val="16"/>
                <w:lang w:val="sv-SE"/>
              </w:rPr>
              <w:t>:</w:t>
            </w:r>
          </w:p>
          <w:p w14:paraId="002C8AC0" w14:textId="77777777" w:rsidR="00581CC5" w:rsidRDefault="00581CC5" w:rsidP="00C544E4">
            <w:pPr>
              <w:rPr>
                <w:lang w:val="sv-SE"/>
              </w:rPr>
            </w:pPr>
          </w:p>
          <w:p w14:paraId="47D3A591" w14:textId="77777777" w:rsidR="00662452" w:rsidRDefault="00662452" w:rsidP="00C544E4">
            <w:pPr>
              <w:rPr>
                <w:lang w:val="sv-SE"/>
              </w:rPr>
            </w:pPr>
          </w:p>
          <w:p w14:paraId="1D837FE6" w14:textId="77777777" w:rsidR="008372F9" w:rsidRDefault="008372F9" w:rsidP="00C544E4">
            <w:pPr>
              <w:rPr>
                <w:lang w:val="sv-SE"/>
              </w:rPr>
            </w:pPr>
          </w:p>
          <w:p w14:paraId="58CE62B6" w14:textId="77777777" w:rsidR="00662452" w:rsidRDefault="00662452" w:rsidP="00C544E4">
            <w:pPr>
              <w:rPr>
                <w:lang w:val="sv-SE"/>
              </w:rPr>
            </w:pPr>
          </w:p>
          <w:p w14:paraId="00ADB6E3" w14:textId="77777777" w:rsidR="00662452" w:rsidRDefault="00662452" w:rsidP="00C544E4">
            <w:pPr>
              <w:rPr>
                <w:lang w:val="sv-SE"/>
              </w:rPr>
            </w:pPr>
          </w:p>
        </w:tc>
      </w:tr>
      <w:tr w:rsidR="00581CC5" w14:paraId="4C8F7893" w14:textId="77777777" w:rsidTr="00B30EE5">
        <w:tc>
          <w:tcPr>
            <w:tcW w:w="5000" w:type="pct"/>
          </w:tcPr>
          <w:p w14:paraId="7E0979B8" w14:textId="77777777" w:rsidR="00581CC5" w:rsidRDefault="00662452" w:rsidP="00C544E4">
            <w:pPr>
              <w:rPr>
                <w:lang w:val="sv-SE"/>
              </w:rPr>
            </w:pPr>
            <w:r>
              <w:rPr>
                <w:lang w:val="sv-SE"/>
              </w:rPr>
              <w:t>Vilk</w:t>
            </w:r>
            <w:r w:rsidR="008372F9">
              <w:rPr>
                <w:lang w:val="sv-SE"/>
              </w:rPr>
              <w:t>a partikelslag finns i lösning C</w:t>
            </w:r>
            <w:r>
              <w:rPr>
                <w:lang w:val="sv-SE"/>
              </w:rPr>
              <w:t xml:space="preserve"> efter reaktionen. </w:t>
            </w:r>
          </w:p>
        </w:tc>
      </w:tr>
      <w:tr w:rsidR="00581CC5" w14:paraId="4B2F0DDF" w14:textId="77777777" w:rsidTr="00B30EE5">
        <w:tc>
          <w:tcPr>
            <w:tcW w:w="5000" w:type="pct"/>
          </w:tcPr>
          <w:p w14:paraId="371170DA" w14:textId="77777777" w:rsidR="00581CC5" w:rsidRDefault="00581CC5" w:rsidP="00C544E4">
            <w:pPr>
              <w:rPr>
                <w:lang w:val="sv-SE"/>
              </w:rPr>
            </w:pPr>
          </w:p>
          <w:p w14:paraId="33231FAE" w14:textId="77777777" w:rsidR="00662452" w:rsidRDefault="00662452" w:rsidP="00C544E4">
            <w:pPr>
              <w:rPr>
                <w:lang w:val="sv-SE"/>
              </w:rPr>
            </w:pPr>
          </w:p>
          <w:p w14:paraId="658330CC" w14:textId="77777777" w:rsidR="00662452" w:rsidRDefault="00662452" w:rsidP="00C544E4">
            <w:pPr>
              <w:rPr>
                <w:lang w:val="sv-SE"/>
              </w:rPr>
            </w:pPr>
          </w:p>
          <w:p w14:paraId="74F3F319" w14:textId="77777777" w:rsidR="00662452" w:rsidRDefault="00662452" w:rsidP="00C544E4">
            <w:pPr>
              <w:rPr>
                <w:lang w:val="sv-SE"/>
              </w:rPr>
            </w:pPr>
          </w:p>
          <w:p w14:paraId="4DC202FD" w14:textId="77777777" w:rsidR="00662452" w:rsidRDefault="00662452" w:rsidP="00C544E4">
            <w:pPr>
              <w:rPr>
                <w:lang w:val="sv-SE"/>
              </w:rPr>
            </w:pPr>
          </w:p>
          <w:p w14:paraId="26F975F5" w14:textId="77777777" w:rsidR="008372F9" w:rsidRDefault="008372F9" w:rsidP="00C544E4">
            <w:pPr>
              <w:rPr>
                <w:lang w:val="sv-SE"/>
              </w:rPr>
            </w:pPr>
          </w:p>
        </w:tc>
      </w:tr>
      <w:tr w:rsidR="00581CC5" w14:paraId="518A1B43" w14:textId="77777777" w:rsidTr="00B30EE5">
        <w:tc>
          <w:tcPr>
            <w:tcW w:w="5000" w:type="pct"/>
          </w:tcPr>
          <w:p w14:paraId="673403FE" w14:textId="77777777" w:rsidR="00581CC5" w:rsidRDefault="008372F9" w:rsidP="00C544E4">
            <w:pPr>
              <w:rPr>
                <w:lang w:val="sv-SE"/>
              </w:rPr>
            </w:pPr>
            <w:r>
              <w:rPr>
                <w:lang w:val="sv-SE"/>
              </w:rPr>
              <w:t>Beräkna pH i lösning C efter att divätesulfid och vätesulfidjonen har reagerat. (detta sker momentant) Använd en ICE tabell.</w:t>
            </w:r>
          </w:p>
        </w:tc>
      </w:tr>
      <w:tr w:rsidR="008372F9" w14:paraId="0E6F7481" w14:textId="77777777" w:rsidTr="00B30EE5">
        <w:tc>
          <w:tcPr>
            <w:tcW w:w="5000" w:type="pct"/>
          </w:tcPr>
          <w:p w14:paraId="3A44BA13" w14:textId="77777777" w:rsidR="008372F9" w:rsidRPr="006A68EA" w:rsidRDefault="008372F9" w:rsidP="008372F9">
            <w:pPr>
              <w:rPr>
                <w:rFonts w:ascii="Times" w:hAnsi="Times"/>
                <w:sz w:val="16"/>
                <w:szCs w:val="16"/>
                <w:lang w:val="sv-SE"/>
              </w:rPr>
            </w:pPr>
            <w:r w:rsidRPr="006A68EA">
              <w:rPr>
                <w:rFonts w:ascii="Times" w:hAnsi="Times"/>
                <w:sz w:val="16"/>
                <w:szCs w:val="16"/>
                <w:lang w:val="sv-SE"/>
              </w:rPr>
              <w:t>Beräkning:</w:t>
            </w:r>
          </w:p>
          <w:p w14:paraId="79A3317B" w14:textId="77777777" w:rsidR="008372F9" w:rsidRDefault="008372F9" w:rsidP="00C544E4">
            <w:pPr>
              <w:rPr>
                <w:lang w:val="sv-SE"/>
              </w:rPr>
            </w:pPr>
          </w:p>
          <w:p w14:paraId="04AE3FF0" w14:textId="77777777" w:rsidR="008372F9" w:rsidRDefault="008372F9" w:rsidP="00C544E4">
            <w:pPr>
              <w:rPr>
                <w:lang w:val="sv-SE"/>
              </w:rPr>
            </w:pPr>
          </w:p>
          <w:p w14:paraId="2BD77E3B" w14:textId="77777777" w:rsidR="008372F9" w:rsidRDefault="008372F9" w:rsidP="00C544E4">
            <w:pPr>
              <w:rPr>
                <w:lang w:val="sv-SE"/>
              </w:rPr>
            </w:pPr>
          </w:p>
          <w:p w14:paraId="05125F13" w14:textId="77777777" w:rsidR="008372F9" w:rsidRDefault="008372F9" w:rsidP="00C544E4">
            <w:pPr>
              <w:rPr>
                <w:lang w:val="sv-SE"/>
              </w:rPr>
            </w:pPr>
          </w:p>
          <w:p w14:paraId="2CD613E0" w14:textId="77777777" w:rsidR="008372F9" w:rsidRDefault="008372F9" w:rsidP="00C544E4">
            <w:pPr>
              <w:rPr>
                <w:lang w:val="sv-SE"/>
              </w:rPr>
            </w:pPr>
          </w:p>
          <w:p w14:paraId="2BC54627" w14:textId="77777777" w:rsidR="008372F9" w:rsidRDefault="008372F9" w:rsidP="00C544E4">
            <w:pPr>
              <w:rPr>
                <w:lang w:val="sv-SE"/>
              </w:rPr>
            </w:pPr>
          </w:p>
          <w:p w14:paraId="4A210E79" w14:textId="77777777" w:rsidR="008372F9" w:rsidRDefault="008372F9" w:rsidP="00C544E4">
            <w:pPr>
              <w:rPr>
                <w:lang w:val="sv-SE"/>
              </w:rPr>
            </w:pPr>
          </w:p>
          <w:p w14:paraId="71351CA8" w14:textId="77777777" w:rsidR="008372F9" w:rsidRDefault="008372F9" w:rsidP="00C544E4">
            <w:pPr>
              <w:rPr>
                <w:lang w:val="sv-SE"/>
              </w:rPr>
            </w:pPr>
          </w:p>
          <w:p w14:paraId="1D995E08" w14:textId="77777777" w:rsidR="008372F9" w:rsidRDefault="008372F9" w:rsidP="00C544E4">
            <w:pPr>
              <w:rPr>
                <w:lang w:val="sv-SE"/>
              </w:rPr>
            </w:pPr>
          </w:p>
          <w:p w14:paraId="1FB91C45" w14:textId="77777777" w:rsidR="008372F9" w:rsidRDefault="008372F9" w:rsidP="00C544E4">
            <w:pPr>
              <w:rPr>
                <w:lang w:val="sv-SE"/>
              </w:rPr>
            </w:pPr>
          </w:p>
          <w:p w14:paraId="1B7E41DC" w14:textId="77777777" w:rsidR="008372F9" w:rsidRDefault="008372F9" w:rsidP="00C544E4">
            <w:pPr>
              <w:rPr>
                <w:lang w:val="sv-SE"/>
              </w:rPr>
            </w:pPr>
          </w:p>
          <w:p w14:paraId="55B150A4" w14:textId="77777777" w:rsidR="008372F9" w:rsidRDefault="008372F9" w:rsidP="00C544E4">
            <w:pPr>
              <w:rPr>
                <w:lang w:val="sv-SE"/>
              </w:rPr>
            </w:pPr>
          </w:p>
        </w:tc>
      </w:tr>
      <w:tr w:rsidR="008372F9" w14:paraId="620FCBE5" w14:textId="77777777" w:rsidTr="00B30EE5">
        <w:tc>
          <w:tcPr>
            <w:tcW w:w="5000" w:type="pct"/>
          </w:tcPr>
          <w:p w14:paraId="64D532EE" w14:textId="408B75BF" w:rsidR="008372F9" w:rsidRDefault="008372F9" w:rsidP="00C544E4">
            <w:pPr>
              <w:rPr>
                <w:lang w:val="sv-SE"/>
              </w:rPr>
            </w:pPr>
            <w:r>
              <w:rPr>
                <w:lang w:val="sv-SE"/>
              </w:rPr>
              <w:t>Går det att göra en buffert av lösning A och lösning B? Om du ska gör</w:t>
            </w:r>
            <w:r w:rsidR="00B73B05">
              <w:rPr>
                <w:lang w:val="sv-SE"/>
              </w:rPr>
              <w:t>a en buffert med volymen 100 ml och pH = 7.</w:t>
            </w:r>
            <w:r>
              <w:rPr>
                <w:lang w:val="sv-SE"/>
              </w:rPr>
              <w:t xml:space="preserve"> Hur mycket av lösning A och hur mycket av lösning B ska du ta i sådana fall?</w:t>
            </w:r>
          </w:p>
        </w:tc>
      </w:tr>
      <w:tr w:rsidR="008372F9" w14:paraId="1A7D3F50" w14:textId="77777777" w:rsidTr="00B30EE5">
        <w:tc>
          <w:tcPr>
            <w:tcW w:w="5000" w:type="pct"/>
          </w:tcPr>
          <w:p w14:paraId="130DFE90" w14:textId="77777777" w:rsidR="008372F9" w:rsidRPr="006A68EA" w:rsidRDefault="008372F9" w:rsidP="008372F9">
            <w:pPr>
              <w:rPr>
                <w:rFonts w:ascii="Times" w:hAnsi="Times"/>
                <w:sz w:val="16"/>
                <w:szCs w:val="16"/>
                <w:lang w:val="sv-SE"/>
              </w:rPr>
            </w:pPr>
            <w:r w:rsidRPr="006A68EA">
              <w:rPr>
                <w:rFonts w:ascii="Times" w:hAnsi="Times"/>
                <w:sz w:val="16"/>
                <w:szCs w:val="16"/>
                <w:lang w:val="sv-SE"/>
              </w:rPr>
              <w:t>Beräkning:</w:t>
            </w:r>
          </w:p>
          <w:p w14:paraId="1AEBA325" w14:textId="77777777" w:rsidR="008372F9" w:rsidRDefault="008372F9" w:rsidP="00C544E4">
            <w:pPr>
              <w:rPr>
                <w:lang w:val="sv-SE"/>
              </w:rPr>
            </w:pPr>
          </w:p>
          <w:p w14:paraId="5CDE8B32" w14:textId="77777777" w:rsidR="008372F9" w:rsidRDefault="008372F9" w:rsidP="00C544E4">
            <w:pPr>
              <w:rPr>
                <w:lang w:val="sv-SE"/>
              </w:rPr>
            </w:pPr>
          </w:p>
          <w:p w14:paraId="608EE550" w14:textId="77777777" w:rsidR="008372F9" w:rsidRDefault="008372F9" w:rsidP="00C544E4">
            <w:pPr>
              <w:rPr>
                <w:lang w:val="sv-SE"/>
              </w:rPr>
            </w:pPr>
          </w:p>
          <w:p w14:paraId="65001A55" w14:textId="77777777" w:rsidR="008372F9" w:rsidRDefault="008372F9" w:rsidP="00C544E4">
            <w:pPr>
              <w:rPr>
                <w:lang w:val="sv-SE"/>
              </w:rPr>
            </w:pPr>
          </w:p>
          <w:p w14:paraId="4FFF1AC6" w14:textId="77777777" w:rsidR="008372F9" w:rsidRDefault="008372F9" w:rsidP="00C544E4">
            <w:pPr>
              <w:rPr>
                <w:lang w:val="sv-SE"/>
              </w:rPr>
            </w:pPr>
          </w:p>
          <w:p w14:paraId="08B30D5A" w14:textId="77777777" w:rsidR="008372F9" w:rsidRDefault="008372F9" w:rsidP="00C544E4">
            <w:pPr>
              <w:rPr>
                <w:lang w:val="sv-SE"/>
              </w:rPr>
            </w:pPr>
          </w:p>
          <w:p w14:paraId="0DA09C0D" w14:textId="77777777" w:rsidR="00B30EE5" w:rsidRDefault="00B30EE5" w:rsidP="00C544E4">
            <w:pPr>
              <w:rPr>
                <w:lang w:val="sv-SE"/>
              </w:rPr>
            </w:pPr>
          </w:p>
          <w:p w14:paraId="658F4C94" w14:textId="77777777" w:rsidR="00B30EE5" w:rsidRDefault="00B30EE5" w:rsidP="00C544E4">
            <w:pPr>
              <w:rPr>
                <w:lang w:val="sv-SE"/>
              </w:rPr>
            </w:pPr>
          </w:p>
          <w:p w14:paraId="5813ECFE" w14:textId="77777777" w:rsidR="008372F9" w:rsidRDefault="008372F9" w:rsidP="00C544E4">
            <w:pPr>
              <w:rPr>
                <w:lang w:val="sv-SE"/>
              </w:rPr>
            </w:pPr>
          </w:p>
          <w:p w14:paraId="0F77A810" w14:textId="77777777" w:rsidR="008372F9" w:rsidRDefault="008372F9" w:rsidP="00C544E4">
            <w:pPr>
              <w:rPr>
                <w:lang w:val="sv-SE"/>
              </w:rPr>
            </w:pPr>
          </w:p>
          <w:p w14:paraId="7C7734D7" w14:textId="77777777" w:rsidR="008372F9" w:rsidRDefault="008372F9" w:rsidP="00C544E4">
            <w:pPr>
              <w:rPr>
                <w:lang w:val="sv-SE"/>
              </w:rPr>
            </w:pPr>
          </w:p>
          <w:p w14:paraId="043323CE" w14:textId="77777777" w:rsidR="008372F9" w:rsidRDefault="008372F9" w:rsidP="00C544E4">
            <w:pPr>
              <w:rPr>
                <w:lang w:val="sv-SE"/>
              </w:rPr>
            </w:pPr>
          </w:p>
          <w:p w14:paraId="38F14784" w14:textId="77777777" w:rsidR="008372F9" w:rsidRDefault="008372F9" w:rsidP="00C544E4">
            <w:pPr>
              <w:rPr>
                <w:lang w:val="sv-SE"/>
              </w:rPr>
            </w:pPr>
          </w:p>
          <w:p w14:paraId="1B5156D7" w14:textId="77777777" w:rsidR="008372F9" w:rsidRDefault="008372F9" w:rsidP="00C544E4">
            <w:pPr>
              <w:rPr>
                <w:lang w:val="sv-SE"/>
              </w:rPr>
            </w:pPr>
          </w:p>
        </w:tc>
      </w:tr>
    </w:tbl>
    <w:p w14:paraId="51F2A54C" w14:textId="77777777" w:rsidR="00C544E4" w:rsidRDefault="00C544E4" w:rsidP="00C544E4">
      <w:pPr>
        <w:ind w:left="360"/>
        <w:rPr>
          <w:lang w:val="sv-SE"/>
        </w:rPr>
      </w:pPr>
    </w:p>
    <w:p w14:paraId="64BC2827" w14:textId="77777777" w:rsidR="00C544E4" w:rsidRDefault="00C544E4" w:rsidP="00C544E4">
      <w:pPr>
        <w:ind w:left="360"/>
        <w:rPr>
          <w:lang w:val="sv-SE"/>
        </w:rPr>
      </w:pPr>
    </w:p>
    <w:p w14:paraId="215D4E51" w14:textId="77777777" w:rsidR="00B3562B" w:rsidRPr="00C544E4" w:rsidRDefault="0064084C" w:rsidP="00C544E4">
      <w:pPr>
        <w:ind w:left="360"/>
        <w:rPr>
          <w:lang w:val="sv-SE"/>
        </w:rPr>
      </w:pPr>
    </w:p>
    <w:p w14:paraId="13922D5B" w14:textId="77777777" w:rsidR="003E2016" w:rsidRDefault="003E2016" w:rsidP="003E2016">
      <w:pPr>
        <w:rPr>
          <w:lang w:val="sv-SE"/>
        </w:rPr>
      </w:pPr>
    </w:p>
    <w:p w14:paraId="69E2AAD0" w14:textId="77777777" w:rsidR="003E2016" w:rsidRDefault="003E2016" w:rsidP="003E2016">
      <w:pPr>
        <w:rPr>
          <w:lang w:val="sv-SE"/>
        </w:rPr>
      </w:pPr>
    </w:p>
    <w:p w14:paraId="37BFD497" w14:textId="77777777" w:rsidR="00B87D2D" w:rsidRDefault="00B87D2D" w:rsidP="00B87D2D">
      <w:pPr>
        <w:rPr>
          <w:lang w:val="sv-SE"/>
        </w:rPr>
      </w:pPr>
    </w:p>
    <w:p w14:paraId="554B7554" w14:textId="77777777" w:rsidR="00B87D2D" w:rsidRDefault="00B87D2D" w:rsidP="00B87D2D">
      <w:pPr>
        <w:rPr>
          <w:lang w:val="sv-SE"/>
        </w:rPr>
      </w:pPr>
    </w:p>
    <w:p w14:paraId="4AE0F480" w14:textId="77777777" w:rsidR="00C544E4" w:rsidRDefault="00C544E4" w:rsidP="00C544E4">
      <w:pPr>
        <w:pStyle w:val="ListParagraph"/>
        <w:rPr>
          <w:lang w:val="sv-SE"/>
        </w:rPr>
      </w:pPr>
    </w:p>
    <w:p w14:paraId="3310BC4D" w14:textId="77777777" w:rsidR="00C544E4" w:rsidRDefault="00C544E4" w:rsidP="00C544E4">
      <w:pPr>
        <w:pStyle w:val="ListParagraph"/>
        <w:rPr>
          <w:lang w:val="sv-SE"/>
        </w:rPr>
      </w:pPr>
    </w:p>
    <w:p w14:paraId="24149BBC" w14:textId="77777777" w:rsidR="00C544E4" w:rsidRPr="008372F9" w:rsidRDefault="00C544E4" w:rsidP="008372F9">
      <w:pPr>
        <w:rPr>
          <w:lang w:val="sv-SE"/>
        </w:rPr>
      </w:pPr>
      <w:r w:rsidRPr="008372F9">
        <w:rPr>
          <w:lang w:val="sv-SE"/>
        </w:rPr>
        <w:t xml:space="preserve"> </w:t>
      </w:r>
    </w:p>
    <w:sectPr w:rsidR="00C544E4" w:rsidRPr="008372F9" w:rsidSect="009572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5BDD2" w14:textId="77777777" w:rsidR="0064084C" w:rsidRDefault="0064084C" w:rsidP="00B30EE5">
      <w:r>
        <w:separator/>
      </w:r>
    </w:p>
  </w:endnote>
  <w:endnote w:type="continuationSeparator" w:id="0">
    <w:p w14:paraId="70EFCF8E" w14:textId="77777777" w:rsidR="0064084C" w:rsidRDefault="0064084C" w:rsidP="00B30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918EE" w14:textId="77777777" w:rsidR="00B73B05" w:rsidRDefault="00B73B0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1F5D" w14:textId="77777777" w:rsidR="00B73B05" w:rsidRDefault="00B73B0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F7831" w14:textId="77777777" w:rsidR="00B73B05" w:rsidRDefault="00B73B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3083F" w14:textId="77777777" w:rsidR="0064084C" w:rsidRDefault="0064084C" w:rsidP="00B30EE5">
      <w:r>
        <w:separator/>
      </w:r>
    </w:p>
  </w:footnote>
  <w:footnote w:type="continuationSeparator" w:id="0">
    <w:p w14:paraId="3A1CA123" w14:textId="77777777" w:rsidR="0064084C" w:rsidRDefault="0064084C" w:rsidP="00B30E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91EC4" w14:textId="77777777" w:rsidR="00B73B05" w:rsidRDefault="00B73B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8D9DE" w14:textId="22345EE5" w:rsidR="00B30EE5" w:rsidRPr="00B30EE5" w:rsidRDefault="00B30EE5">
    <w:pPr>
      <w:pStyle w:val="Header"/>
      <w:rPr>
        <w:rFonts w:ascii="Times" w:hAnsi="Times"/>
        <w:sz w:val="21"/>
        <w:szCs w:val="21"/>
        <w:lang w:val="sv-SE"/>
      </w:rPr>
    </w:pPr>
    <w:r w:rsidRPr="00B30EE5">
      <w:rPr>
        <w:rFonts w:ascii="Times" w:hAnsi="Times"/>
        <w:sz w:val="21"/>
        <w:szCs w:val="21"/>
        <w:lang w:val="sv-SE"/>
      </w:rPr>
      <w:t>Ö</w:t>
    </w:r>
    <w:r w:rsidR="00B73B05">
      <w:rPr>
        <w:rFonts w:ascii="Times" w:hAnsi="Times"/>
        <w:sz w:val="21"/>
        <w:szCs w:val="21"/>
        <w:lang w:val="sv-SE"/>
      </w:rPr>
      <w:t>vning pH bacfråga. Vecka 6</w:t>
    </w:r>
    <w:bookmarkStart w:id="0" w:name="_GoBack"/>
    <w:bookmarkEnd w:id="0"/>
    <w:r w:rsidRPr="00B30EE5">
      <w:rPr>
        <w:rFonts w:ascii="Times" w:hAnsi="Times"/>
        <w:sz w:val="21"/>
        <w:szCs w:val="21"/>
        <w:lang w:val="sv-SE"/>
      </w:rPr>
      <w:t xml:space="preserve"> VT 2020</w:t>
    </w:r>
  </w:p>
  <w:p w14:paraId="55323E7F" w14:textId="77777777" w:rsidR="00B30EE5" w:rsidRPr="00B30EE5" w:rsidRDefault="00B30EE5">
    <w:pPr>
      <w:pStyle w:val="Header"/>
      <w:rPr>
        <w:lang w:val="sv-SE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B9E28" w14:textId="77777777" w:rsidR="00B73B05" w:rsidRDefault="00B73B0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659C1"/>
    <w:multiLevelType w:val="hybridMultilevel"/>
    <w:tmpl w:val="212868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A9"/>
    <w:rsid w:val="0007303E"/>
    <w:rsid w:val="0009065C"/>
    <w:rsid w:val="00262FBE"/>
    <w:rsid w:val="00361564"/>
    <w:rsid w:val="003E2016"/>
    <w:rsid w:val="00581CC5"/>
    <w:rsid w:val="0064084C"/>
    <w:rsid w:val="00662452"/>
    <w:rsid w:val="006A68EA"/>
    <w:rsid w:val="006F4382"/>
    <w:rsid w:val="008372F9"/>
    <w:rsid w:val="0095727F"/>
    <w:rsid w:val="00A6628E"/>
    <w:rsid w:val="00B2546C"/>
    <w:rsid w:val="00B30EE5"/>
    <w:rsid w:val="00B73B05"/>
    <w:rsid w:val="00B87D2D"/>
    <w:rsid w:val="00C544E4"/>
    <w:rsid w:val="00C876A9"/>
    <w:rsid w:val="00E24B18"/>
    <w:rsid w:val="00E607B7"/>
    <w:rsid w:val="00FA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6D5A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016"/>
    <w:pPr>
      <w:ind w:left="720"/>
      <w:contextualSpacing/>
    </w:pPr>
  </w:style>
  <w:style w:type="table" w:styleId="TableGrid">
    <w:name w:val="Table Grid"/>
    <w:basedOn w:val="TableNormal"/>
    <w:uiPriority w:val="39"/>
    <w:rsid w:val="00C544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19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30EE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EE5"/>
  </w:style>
  <w:style w:type="paragraph" w:styleId="Footer">
    <w:name w:val="footer"/>
    <w:basedOn w:val="Normal"/>
    <w:link w:val="FooterChar"/>
    <w:uiPriority w:val="99"/>
    <w:unhideWhenUsed/>
    <w:rsid w:val="00B30EE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288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BÄCKSTRÖM Sofia (LUX-Teacher)</dc:creator>
  <cp:keywords/>
  <dc:description/>
  <cp:lastModifiedBy>BÄCKSTRÖM Sofia (LUX-Teacher)</cp:lastModifiedBy>
  <cp:revision>2</cp:revision>
  <dcterms:created xsi:type="dcterms:W3CDTF">2020-02-07T19:56:00Z</dcterms:created>
  <dcterms:modified xsi:type="dcterms:W3CDTF">2020-02-07T21:18:00Z</dcterms:modified>
</cp:coreProperties>
</file>